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193"/>
      <w:bookmarkStart w:id="1" w:name="_Toc15396475"/>
      <w:bookmarkStart w:id="2" w:name="_Toc15396597"/>
      <w:bookmarkStart w:id="3" w:name="_Toc15378441"/>
      <w:bookmarkStart w:id="4" w:name="_Toc1537742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053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7" w:name="_Toc25898"/>
      <w:bookmarkStart w:id="8" w:name="_Toc15377194"/>
      <w:bookmarkStart w:id="9" w:name="_Toc15378442"/>
      <w:bookmarkStart w:id="10" w:name="_Toc15306268"/>
      <w:bookmarkStart w:id="11" w:name="_Toc15396598"/>
      <w:bookmarkStart w:id="12" w:name="_Toc15396476"/>
      <w:bookmarkStart w:id="13" w:name="_Toc15377426"/>
      <w:r>
        <w:rPr>
          <w:rFonts w:hint="eastAsia" w:ascii="方正小标宋简体" w:hAnsi="方正小标宋简体" w:eastAsia="方正小标宋简体" w:cs="方正小标宋简体"/>
          <w:color w:val="auto"/>
          <w:sz w:val="72"/>
          <w:szCs w:val="72"/>
          <w:highlight w:val="none"/>
          <w:lang w:eastAsia="zh-CN"/>
        </w:rPr>
        <w:t>内江市市中区人民医院</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29598"/>
      <w:r>
        <w:rPr>
          <w:rFonts w:hint="eastAsia" w:ascii="方正小标宋简体" w:hAnsi="方正小标宋简体" w:eastAsia="方正小标宋简体" w:cs="方正小标宋简体"/>
          <w:color w:val="auto"/>
          <w:sz w:val="72"/>
          <w:szCs w:val="72"/>
          <w:highlight w:val="none"/>
        </w:rPr>
        <w:t>部门决算</w:t>
      </w:r>
      <w:bookmarkEnd w:id="8"/>
      <w:bookmarkEnd w:id="9"/>
      <w:bookmarkEnd w:id="10"/>
      <w:bookmarkEnd w:id="11"/>
      <w:bookmarkEnd w:id="12"/>
      <w:bookmarkEnd w:id="13"/>
      <w:bookmarkEnd w:id="14"/>
    </w:p>
    <w:p>
      <w:pPr>
        <w:adjustRightInd w:val="0"/>
        <w:snapToGrid w:val="0"/>
        <w:spacing w:line="360" w:lineRule="auto"/>
        <w:jc w:val="center"/>
        <w:outlineLvl w:val="9"/>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5208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39"/>
            <w:tabs>
              <w:tab w:val="right" w:leader="dot" w:pos="8306"/>
            </w:tabs>
            <w:outlineLvl w:val="0"/>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_Toc17451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第一部分 部门概况</w:t>
          </w:r>
          <w:r>
            <w:rPr>
              <w:rFonts w:hint="eastAsia" w:ascii="仿宋" w:hAnsi="仿宋" w:eastAsia="仿宋" w:cs="Times New Roman"/>
              <w:color w:val="auto"/>
              <w:kern w:val="2"/>
              <w:sz w:val="24"/>
              <w:szCs w:val="28"/>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_Toc17451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_Toc4570 </w:instrText>
          </w:r>
          <w:r>
            <w:rPr>
              <w:rFonts w:hint="eastAsia"/>
              <w:color w:val="auto"/>
              <w:sz w:val="24"/>
              <w:highlight w:val="none"/>
            </w:rPr>
            <w:fldChar w:fldCharType="separate"/>
          </w: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_Toc4570 \h </w:instrText>
          </w:r>
          <w:r>
            <w:rPr>
              <w:rFonts w:hint="eastAsia"/>
              <w:color w:val="auto"/>
              <w:sz w:val="24"/>
              <w:highlight w:val="none"/>
            </w:rPr>
            <w:fldChar w:fldCharType="separate"/>
          </w:r>
          <w:r>
            <w:rPr>
              <w:rFonts w:hint="eastAsia"/>
              <w:color w:val="auto"/>
              <w:sz w:val="24"/>
              <w:highlight w:val="none"/>
            </w:rPr>
            <w:t>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_Toc8470 </w:instrText>
          </w:r>
          <w:r>
            <w:rPr>
              <w:rFonts w:hint="eastAsia"/>
              <w:color w:val="auto"/>
              <w:sz w:val="24"/>
              <w:highlight w:val="none"/>
            </w:rPr>
            <w:fldChar w:fldCharType="separate"/>
          </w:r>
          <w:r>
            <w:rPr>
              <w:rFonts w:hint="eastAsia"/>
              <w:color w:val="auto"/>
              <w:sz w:val="24"/>
              <w:highlight w:val="none"/>
            </w:rPr>
            <w:t>二、机构设置</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_Toc8470 \h </w:instrText>
          </w:r>
          <w:r>
            <w:rPr>
              <w:rFonts w:hint="eastAsia"/>
              <w:color w:val="auto"/>
              <w:sz w:val="24"/>
              <w:highlight w:val="none"/>
            </w:rPr>
            <w:fldChar w:fldCharType="separate"/>
          </w:r>
          <w:r>
            <w:rPr>
              <w:rFonts w:hint="eastAsia"/>
              <w:color w:val="auto"/>
              <w:sz w:val="24"/>
              <w:highlight w:val="none"/>
            </w:rPr>
            <w:t>1</w:t>
          </w:r>
          <w:r>
            <w:rPr>
              <w:rFonts w:hint="eastAsia"/>
              <w:color w:val="auto"/>
              <w:sz w:val="24"/>
              <w:highlight w:val="none"/>
            </w:rPr>
            <w:fldChar w:fldCharType="end"/>
          </w:r>
          <w:r>
            <w:rPr>
              <w:rFonts w:hint="eastAsia"/>
              <w:color w:val="auto"/>
              <w:sz w:val="24"/>
              <w:highlight w:val="none"/>
            </w:rPr>
            <w:fldChar w:fldCharType="end"/>
          </w:r>
        </w:p>
        <w:p>
          <w:pPr>
            <w:pStyle w:val="39"/>
            <w:tabs>
              <w:tab w:val="right" w:leader="dot" w:pos="8306"/>
            </w:tabs>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_Toc621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第二部分 2022年度部门决算情况说明</w:t>
          </w:r>
          <w:r>
            <w:rPr>
              <w:rFonts w:hint="eastAsia" w:ascii="仿宋" w:hAnsi="仿宋" w:eastAsia="仿宋" w:cs="Times New Roman"/>
              <w:color w:val="auto"/>
              <w:kern w:val="2"/>
              <w:sz w:val="24"/>
              <w:szCs w:val="28"/>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_Toc621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2</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_Toc15112 </w:instrText>
          </w:r>
          <w:r>
            <w:rPr>
              <w:rFonts w:hint="eastAsia"/>
              <w:color w:val="auto"/>
              <w:sz w:val="24"/>
              <w:highlight w:val="none"/>
            </w:rPr>
            <w:fldChar w:fldCharType="separate"/>
          </w:r>
          <w:r>
            <w:rPr>
              <w:rFonts w:hint="default"/>
              <w:color w:val="auto"/>
              <w:sz w:val="24"/>
              <w:highlight w:val="none"/>
            </w:rPr>
            <w:t xml:space="preserve">一、 </w:t>
          </w:r>
          <w:r>
            <w:rPr>
              <w:rFonts w:hint="eastAsia"/>
              <w:color w:val="auto"/>
              <w:sz w:val="24"/>
              <w:highlight w:val="none"/>
            </w:rPr>
            <w:t>收入支出决算总体情况说明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_Toc15112 \h </w:instrText>
          </w:r>
          <w:r>
            <w:rPr>
              <w:rFonts w:hint="eastAsia"/>
              <w:color w:val="auto"/>
              <w:sz w:val="24"/>
              <w:highlight w:val="none"/>
            </w:rPr>
            <w:fldChar w:fldCharType="separate"/>
          </w:r>
          <w:r>
            <w:rPr>
              <w:rFonts w:hint="eastAsia"/>
              <w:color w:val="auto"/>
              <w:sz w:val="24"/>
              <w:highlight w:val="none"/>
            </w:rPr>
            <w:t>2</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_Toc21570 </w:instrText>
          </w:r>
          <w:r>
            <w:rPr>
              <w:rFonts w:hint="eastAsia"/>
              <w:color w:val="auto"/>
              <w:sz w:val="24"/>
              <w:highlight w:val="none"/>
            </w:rPr>
            <w:fldChar w:fldCharType="separate"/>
          </w:r>
          <w:r>
            <w:rPr>
              <w:rFonts w:hint="default"/>
              <w:color w:val="auto"/>
              <w:sz w:val="24"/>
              <w:highlight w:val="none"/>
            </w:rPr>
            <w:t xml:space="preserve">二、 </w:t>
          </w:r>
          <w:r>
            <w:rPr>
              <w:rFonts w:hint="eastAsia"/>
              <w:color w:val="auto"/>
              <w:sz w:val="24"/>
              <w:highlight w:val="none"/>
            </w:rPr>
            <w:t>收入决算情况说明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_Toc21570 \h </w:instrText>
          </w:r>
          <w:r>
            <w:rPr>
              <w:rFonts w:hint="eastAsia"/>
              <w:color w:val="auto"/>
              <w:sz w:val="24"/>
              <w:highlight w:val="none"/>
            </w:rPr>
            <w:fldChar w:fldCharType="separate"/>
          </w:r>
          <w:r>
            <w:rPr>
              <w:rFonts w:hint="eastAsia"/>
              <w:color w:val="auto"/>
              <w:sz w:val="24"/>
              <w:highlight w:val="none"/>
            </w:rPr>
            <w:t>2</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_Toc28616 </w:instrText>
          </w:r>
          <w:r>
            <w:rPr>
              <w:rFonts w:hint="eastAsia"/>
              <w:color w:val="auto"/>
              <w:sz w:val="24"/>
              <w:highlight w:val="none"/>
            </w:rPr>
            <w:fldChar w:fldCharType="separate"/>
          </w:r>
          <w:r>
            <w:rPr>
              <w:rFonts w:hint="default"/>
              <w:color w:val="auto"/>
              <w:sz w:val="24"/>
              <w:highlight w:val="none"/>
            </w:rPr>
            <w:t xml:space="preserve">三、 </w:t>
          </w:r>
          <w:r>
            <w:rPr>
              <w:rFonts w:hint="eastAsia"/>
              <w:color w:val="auto"/>
              <w:sz w:val="24"/>
              <w:highlight w:val="none"/>
            </w:rPr>
            <w:t>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_Toc28616 \h </w:instrText>
          </w:r>
          <w:r>
            <w:rPr>
              <w:rFonts w:hint="eastAsia"/>
              <w:color w:val="auto"/>
              <w:sz w:val="24"/>
              <w:highlight w:val="none"/>
            </w:rPr>
            <w:fldChar w:fldCharType="separate"/>
          </w:r>
          <w:r>
            <w:rPr>
              <w:rFonts w:hint="eastAsia"/>
              <w:color w:val="auto"/>
              <w:sz w:val="24"/>
              <w:highlight w:val="none"/>
            </w:rPr>
            <w:t>3</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_Toc1378 </w:instrText>
          </w:r>
          <w:r>
            <w:rPr>
              <w:rFonts w:hint="eastAsia"/>
              <w:color w:val="auto"/>
              <w:sz w:val="24"/>
              <w:highlight w:val="none"/>
            </w:rPr>
            <w:fldChar w:fldCharType="separate"/>
          </w:r>
          <w:r>
            <w:rPr>
              <w:rFonts w:hint="eastAsia"/>
              <w:color w:val="auto"/>
              <w:sz w:val="24"/>
              <w:highlight w:val="none"/>
            </w:rPr>
            <w:t>四、财政拨款收入支出决算总体情况说明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_Toc1378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_Toc20165 </w:instrText>
          </w:r>
          <w:r>
            <w:rPr>
              <w:rFonts w:hint="eastAsia"/>
              <w:color w:val="auto"/>
              <w:sz w:val="24"/>
              <w:highlight w:val="none"/>
            </w:rPr>
            <w:fldChar w:fldCharType="separate"/>
          </w:r>
          <w:r>
            <w:rPr>
              <w:rFonts w:hint="eastAsia"/>
              <w:color w:val="auto"/>
              <w:sz w:val="24"/>
              <w:highlight w:val="none"/>
            </w:rPr>
            <w:t>五、一般公共预算财政拨款支出决算情况说明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_Toc20165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_Toc14910 </w:instrText>
          </w:r>
          <w:r>
            <w:rPr>
              <w:rFonts w:hint="eastAsia"/>
              <w:color w:val="auto"/>
              <w:sz w:val="24"/>
              <w:highlight w:val="none"/>
            </w:rPr>
            <w:fldChar w:fldCharType="separate"/>
          </w:r>
          <w:r>
            <w:rPr>
              <w:rFonts w:hint="eastAsia"/>
              <w:color w:val="auto"/>
              <w:sz w:val="24"/>
              <w:highlight w:val="none"/>
            </w:rPr>
            <w:t>六、一般公共预算财政拨款基本支出决算情况说明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_Toc14910 \h </w:instrText>
          </w:r>
          <w:r>
            <w:rPr>
              <w:rFonts w:hint="eastAsia"/>
              <w:color w:val="auto"/>
              <w:sz w:val="24"/>
              <w:highlight w:val="none"/>
            </w:rPr>
            <w:fldChar w:fldCharType="separate"/>
          </w:r>
          <w:r>
            <w:rPr>
              <w:rFonts w:hint="eastAsia"/>
              <w:color w:val="auto"/>
              <w:sz w:val="24"/>
              <w:highlight w:val="none"/>
            </w:rPr>
            <w:t>7</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_Toc26443 </w:instrText>
          </w:r>
          <w:r>
            <w:rPr>
              <w:rFonts w:hint="eastAsia"/>
              <w:color w:val="auto"/>
              <w:sz w:val="24"/>
              <w:highlight w:val="none"/>
            </w:rPr>
            <w:fldChar w:fldCharType="separate"/>
          </w:r>
          <w:r>
            <w:rPr>
              <w:rFonts w:hint="eastAsia"/>
              <w:color w:val="auto"/>
              <w:sz w:val="24"/>
              <w:highlight w:val="none"/>
            </w:rPr>
            <w:t>七、财政拨款“三公”经费支出决算情况说明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_Toc26443 \h </w:instrText>
          </w:r>
          <w:r>
            <w:rPr>
              <w:rFonts w:hint="eastAsia"/>
              <w:color w:val="auto"/>
              <w:sz w:val="24"/>
              <w:highlight w:val="none"/>
            </w:rPr>
            <w:fldChar w:fldCharType="separate"/>
          </w:r>
          <w:r>
            <w:rPr>
              <w:rFonts w:hint="eastAsia"/>
              <w:color w:val="auto"/>
              <w:sz w:val="24"/>
              <w:highlight w:val="none"/>
            </w:rPr>
            <w:t>7</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_Toc15368 </w:instrText>
          </w:r>
          <w:r>
            <w:rPr>
              <w:rFonts w:hint="eastAsia"/>
              <w:color w:val="auto"/>
              <w:sz w:val="24"/>
              <w:highlight w:val="none"/>
            </w:rPr>
            <w:fldChar w:fldCharType="separate"/>
          </w:r>
          <w:r>
            <w:rPr>
              <w:rFonts w:hint="eastAsia"/>
              <w:color w:val="auto"/>
              <w:sz w:val="24"/>
              <w:highlight w:val="none"/>
            </w:rPr>
            <w:t>八、政府性基金预算支出决算情况说明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_Toc15368 \h </w:instrText>
          </w:r>
          <w:r>
            <w:rPr>
              <w:rFonts w:hint="eastAsia"/>
              <w:color w:val="auto"/>
              <w:sz w:val="24"/>
              <w:highlight w:val="none"/>
            </w:rPr>
            <w:fldChar w:fldCharType="separate"/>
          </w:r>
          <w:r>
            <w:rPr>
              <w:rFonts w:hint="eastAsia"/>
              <w:color w:val="auto"/>
              <w:sz w:val="24"/>
              <w:highlight w:val="none"/>
            </w:rPr>
            <w:t>8</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_Toc151 </w:instrText>
          </w:r>
          <w:r>
            <w:rPr>
              <w:rFonts w:hint="eastAsia"/>
              <w:color w:val="auto"/>
              <w:sz w:val="24"/>
              <w:highlight w:val="none"/>
            </w:rPr>
            <w:fldChar w:fldCharType="separate"/>
          </w:r>
          <w:r>
            <w:rPr>
              <w:rFonts w:hint="eastAsia"/>
              <w:color w:val="auto"/>
              <w:sz w:val="24"/>
              <w:highlight w:val="none"/>
            </w:rPr>
            <w:t>九、 国有资本经营预算支出决算情况说明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_Toc151 \h </w:instrText>
          </w:r>
          <w:r>
            <w:rPr>
              <w:rFonts w:hint="eastAsia"/>
              <w:color w:val="auto"/>
              <w:sz w:val="24"/>
              <w:highlight w:val="none"/>
            </w:rPr>
            <w:fldChar w:fldCharType="separate"/>
          </w:r>
          <w:r>
            <w:rPr>
              <w:rFonts w:hint="eastAsia"/>
              <w:color w:val="auto"/>
              <w:sz w:val="24"/>
              <w:highlight w:val="none"/>
            </w:rPr>
            <w:t>8</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_Toc10051 </w:instrText>
          </w:r>
          <w:r>
            <w:rPr>
              <w:rFonts w:hint="eastAsia"/>
              <w:color w:val="auto"/>
              <w:sz w:val="24"/>
              <w:highlight w:val="none"/>
            </w:rPr>
            <w:fldChar w:fldCharType="separate"/>
          </w:r>
          <w:r>
            <w:rPr>
              <w:rFonts w:hint="eastAsia"/>
              <w:color w:val="auto"/>
              <w:sz w:val="24"/>
              <w:highlight w:val="none"/>
            </w:rPr>
            <w:t>十、 其他重要事项的情况说明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_Toc10051 \h </w:instrText>
          </w:r>
          <w:r>
            <w:rPr>
              <w:rFonts w:hint="eastAsia"/>
              <w:color w:val="auto"/>
              <w:sz w:val="24"/>
              <w:highlight w:val="none"/>
            </w:rPr>
            <w:fldChar w:fldCharType="separate"/>
          </w:r>
          <w:r>
            <w:rPr>
              <w:rFonts w:hint="eastAsia"/>
              <w:color w:val="auto"/>
              <w:sz w:val="24"/>
              <w:highlight w:val="none"/>
            </w:rPr>
            <w:t>8</w:t>
          </w:r>
          <w:r>
            <w:rPr>
              <w:rFonts w:hint="eastAsia"/>
              <w:color w:val="auto"/>
              <w:sz w:val="24"/>
              <w:highlight w:val="none"/>
            </w:rPr>
            <w:fldChar w:fldCharType="end"/>
          </w:r>
          <w:r>
            <w:rPr>
              <w:rFonts w:hint="eastAsia"/>
              <w:color w:val="auto"/>
              <w:sz w:val="24"/>
              <w:highlight w:val="none"/>
            </w:rPr>
            <w:fldChar w:fldCharType="end"/>
          </w:r>
        </w:p>
        <w:p>
          <w:pPr>
            <w:pStyle w:val="39"/>
            <w:tabs>
              <w:tab w:val="right" w:leader="dot" w:pos="8306"/>
            </w:tabs>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_Toc24611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第三部分 名词解释</w:t>
          </w:r>
          <w:r>
            <w:rPr>
              <w:rFonts w:hint="eastAsia" w:ascii="仿宋" w:hAnsi="仿宋" w:eastAsia="仿宋" w:cs="Times New Roman"/>
              <w:color w:val="auto"/>
              <w:kern w:val="2"/>
              <w:sz w:val="24"/>
              <w:szCs w:val="28"/>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_Toc24611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11</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39"/>
            <w:tabs>
              <w:tab w:val="right" w:leader="dot" w:pos="8306"/>
            </w:tabs>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_Toc1329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第四部分 附件</w:t>
          </w:r>
          <w:r>
            <w:rPr>
              <w:rFonts w:hint="eastAsia" w:ascii="仿宋" w:hAnsi="仿宋" w:eastAsia="仿宋" w:cs="Times New Roman"/>
              <w:color w:val="auto"/>
              <w:kern w:val="2"/>
              <w:sz w:val="24"/>
              <w:szCs w:val="28"/>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_Toc1329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14</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39"/>
            <w:tabs>
              <w:tab w:val="right" w:leader="dot" w:pos="8306"/>
            </w:tabs>
            <w:rPr>
              <w:rFonts w:hint="eastAsia"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HYPERLINK \l _Toc901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第五部分 附表</w:t>
          </w:r>
          <w:r>
            <w:rPr>
              <w:rFonts w:hint="eastAsia" w:ascii="仿宋" w:hAnsi="仿宋" w:eastAsia="仿宋" w:cs="Times New Roman"/>
              <w:color w:val="auto"/>
              <w:kern w:val="2"/>
              <w:sz w:val="24"/>
              <w:szCs w:val="28"/>
              <w:highlight w:val="none"/>
              <w:lang w:val="en-US" w:eastAsia="zh-CN" w:bidi="ar-SA"/>
            </w:rPr>
            <w:tab/>
          </w:r>
          <w:r>
            <w:rPr>
              <w:rFonts w:hint="eastAsia" w:ascii="仿宋" w:hAnsi="仿宋" w:eastAsia="仿宋" w:cs="Times New Roman"/>
              <w:color w:val="auto"/>
              <w:kern w:val="2"/>
              <w:sz w:val="24"/>
              <w:szCs w:val="28"/>
              <w:highlight w:val="none"/>
              <w:lang w:val="en-US" w:eastAsia="zh-CN" w:bidi="ar-SA"/>
            </w:rPr>
            <w:fldChar w:fldCharType="begin"/>
          </w:r>
          <w:r>
            <w:rPr>
              <w:rFonts w:hint="eastAsia" w:ascii="仿宋" w:hAnsi="仿宋" w:eastAsia="仿宋" w:cs="Times New Roman"/>
              <w:color w:val="auto"/>
              <w:kern w:val="2"/>
              <w:sz w:val="24"/>
              <w:szCs w:val="28"/>
              <w:highlight w:val="none"/>
              <w:lang w:val="en-US" w:eastAsia="zh-CN" w:bidi="ar-SA"/>
            </w:rPr>
            <w:instrText xml:space="preserve"> PAGEREF _Toc901 \h </w:instrText>
          </w:r>
          <w:r>
            <w:rPr>
              <w:rFonts w:hint="eastAsia" w:ascii="仿宋" w:hAnsi="仿宋" w:eastAsia="仿宋" w:cs="Times New Roman"/>
              <w:color w:val="auto"/>
              <w:kern w:val="2"/>
              <w:sz w:val="24"/>
              <w:szCs w:val="28"/>
              <w:highlight w:val="none"/>
              <w:lang w:val="en-US" w:eastAsia="zh-CN" w:bidi="ar-SA"/>
            </w:rPr>
            <w:fldChar w:fldCharType="separate"/>
          </w:r>
          <w:r>
            <w:rPr>
              <w:rFonts w:hint="eastAsia" w:ascii="仿宋" w:hAnsi="仿宋" w:eastAsia="仿宋" w:cs="Times New Roman"/>
              <w:color w:val="auto"/>
              <w:kern w:val="2"/>
              <w:sz w:val="24"/>
              <w:szCs w:val="28"/>
              <w:highlight w:val="none"/>
              <w:lang w:val="en-US" w:eastAsia="zh-CN" w:bidi="ar-SA"/>
            </w:rPr>
            <w:t>61</w:t>
          </w:r>
          <w:r>
            <w:rPr>
              <w:rFonts w:hint="eastAsia" w:ascii="仿宋" w:hAnsi="仿宋" w:eastAsia="仿宋" w:cs="Times New Roman"/>
              <w:color w:val="auto"/>
              <w:kern w:val="2"/>
              <w:sz w:val="24"/>
              <w:szCs w:val="28"/>
              <w:highlight w:val="none"/>
              <w:lang w:val="en-US" w:eastAsia="zh-CN" w:bidi="ar-SA"/>
            </w:rPr>
            <w:fldChar w:fldCharType="end"/>
          </w:r>
          <w:r>
            <w:rPr>
              <w:rFonts w:hint="eastAsia" w:ascii="仿宋" w:hAnsi="仿宋" w:eastAsia="仿宋" w:cs="Times New Roman"/>
              <w:color w:val="auto"/>
              <w:kern w:val="2"/>
              <w:sz w:val="24"/>
              <w:szCs w:val="28"/>
              <w:highlight w:val="none"/>
              <w:lang w:val="en-US" w:eastAsia="zh-CN" w:bidi="ar-SA"/>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_Toc8201 </w:instrText>
          </w:r>
          <w:r>
            <w:rPr>
              <w:rFonts w:hint="eastAsia"/>
              <w:color w:val="auto"/>
              <w:sz w:val="24"/>
              <w:highlight w:val="none"/>
            </w:rPr>
            <w:fldChar w:fldCharType="separate"/>
          </w:r>
          <w:r>
            <w:rPr>
              <w:rFonts w:hint="eastAsia"/>
              <w:color w:val="auto"/>
              <w:sz w:val="24"/>
              <w:highlight w:val="none"/>
            </w:rPr>
            <w:t>一、收入支出决算总表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_Toc8201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_Toc26584 </w:instrText>
          </w:r>
          <w:r>
            <w:rPr>
              <w:rFonts w:hint="eastAsia"/>
              <w:color w:val="auto"/>
              <w:sz w:val="24"/>
              <w:highlight w:val="none"/>
            </w:rPr>
            <w:fldChar w:fldCharType="separate"/>
          </w:r>
          <w:r>
            <w:rPr>
              <w:rFonts w:hint="eastAsia"/>
              <w:color w:val="auto"/>
              <w:sz w:val="24"/>
              <w:highlight w:val="none"/>
            </w:rPr>
            <w:t>二、收入决算表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_Toc26584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_Toc16329 </w:instrText>
          </w:r>
          <w:r>
            <w:rPr>
              <w:rFonts w:hint="eastAsia"/>
              <w:color w:val="auto"/>
              <w:sz w:val="24"/>
              <w:highlight w:val="none"/>
            </w:rPr>
            <w:fldChar w:fldCharType="separate"/>
          </w:r>
          <w:r>
            <w:rPr>
              <w:rFonts w:hint="eastAsia"/>
              <w:color w:val="auto"/>
              <w:sz w:val="24"/>
              <w:highlight w:val="none"/>
            </w:rPr>
            <w:t>三、支出决算表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_Toc16329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_Toc21385 </w:instrText>
          </w:r>
          <w:r>
            <w:rPr>
              <w:rFonts w:hint="eastAsia"/>
              <w:color w:val="auto"/>
              <w:sz w:val="24"/>
              <w:highlight w:val="none"/>
            </w:rPr>
            <w:fldChar w:fldCharType="separate"/>
          </w:r>
          <w:r>
            <w:rPr>
              <w:rFonts w:hint="eastAsia"/>
              <w:color w:val="auto"/>
              <w:sz w:val="24"/>
              <w:highlight w:val="none"/>
            </w:rPr>
            <w:t>四、财政拨款收入支出决算总表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_Toc21385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_Toc2174 </w:instrText>
          </w:r>
          <w:r>
            <w:rPr>
              <w:rFonts w:hint="eastAsia"/>
              <w:color w:val="auto"/>
              <w:sz w:val="24"/>
              <w:highlight w:val="none"/>
            </w:rPr>
            <w:fldChar w:fldCharType="separate"/>
          </w:r>
          <w:r>
            <w:rPr>
              <w:rFonts w:hint="eastAsia"/>
              <w:color w:val="auto"/>
              <w:sz w:val="24"/>
              <w:highlight w:val="none"/>
            </w:rPr>
            <w:t>五、财政拨款支出决算明细表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_Toc2174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_Toc4146 </w:instrText>
          </w:r>
          <w:r>
            <w:rPr>
              <w:rFonts w:hint="eastAsia"/>
              <w:color w:val="auto"/>
              <w:sz w:val="24"/>
              <w:highlight w:val="none"/>
            </w:rPr>
            <w:fldChar w:fldCharType="separate"/>
          </w:r>
          <w:r>
            <w:rPr>
              <w:rFonts w:hint="eastAsia"/>
              <w:color w:val="auto"/>
              <w:sz w:val="24"/>
              <w:highlight w:val="none"/>
            </w:rPr>
            <w:t>六、一般公共预算财政拨款支出决算表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_Toc4146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_Toc24524 </w:instrText>
          </w:r>
          <w:r>
            <w:rPr>
              <w:rFonts w:hint="eastAsia"/>
              <w:color w:val="auto"/>
              <w:sz w:val="24"/>
              <w:highlight w:val="none"/>
            </w:rPr>
            <w:fldChar w:fldCharType="separate"/>
          </w:r>
          <w:r>
            <w:rPr>
              <w:rFonts w:hint="eastAsia"/>
              <w:color w:val="auto"/>
              <w:sz w:val="24"/>
              <w:highlight w:val="none"/>
            </w:rPr>
            <w:t>七、一般公共预算财政拨款支出决算明细表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_Toc24524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_Toc28048 </w:instrText>
          </w:r>
          <w:r>
            <w:rPr>
              <w:rFonts w:hint="eastAsia"/>
              <w:color w:val="auto"/>
              <w:sz w:val="24"/>
              <w:highlight w:val="none"/>
            </w:rPr>
            <w:fldChar w:fldCharType="separate"/>
          </w:r>
          <w:r>
            <w:rPr>
              <w:rFonts w:hint="eastAsia"/>
              <w:color w:val="auto"/>
              <w:sz w:val="24"/>
              <w:highlight w:val="none"/>
            </w:rPr>
            <w:t>八、一般公共预算财政拨款基本支出决算表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_Toc28048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_Toc31867 </w:instrText>
          </w:r>
          <w:r>
            <w:rPr>
              <w:rFonts w:hint="eastAsia"/>
              <w:color w:val="auto"/>
              <w:sz w:val="24"/>
              <w:highlight w:val="none"/>
            </w:rPr>
            <w:fldChar w:fldCharType="separate"/>
          </w:r>
          <w:r>
            <w:rPr>
              <w:rFonts w:hint="eastAsia"/>
              <w:color w:val="auto"/>
              <w:sz w:val="24"/>
              <w:highlight w:val="none"/>
            </w:rPr>
            <w:t>九、一般公共预算财政拨款项目支出决算表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_Toc31867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_Toc23874 </w:instrText>
          </w:r>
          <w:r>
            <w:rPr>
              <w:rFonts w:hint="eastAsia"/>
              <w:color w:val="auto"/>
              <w:sz w:val="24"/>
              <w:highlight w:val="none"/>
            </w:rPr>
            <w:fldChar w:fldCharType="separate"/>
          </w:r>
          <w:r>
            <w:rPr>
              <w:rFonts w:hint="eastAsia"/>
              <w:color w:val="auto"/>
              <w:sz w:val="24"/>
              <w:highlight w:val="none"/>
            </w:rPr>
            <w:t>十、政府性基金预算财政拨款收入支出决算表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_Toc23874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_Toc12227 </w:instrText>
          </w:r>
          <w:r>
            <w:rPr>
              <w:rFonts w:hint="eastAsia"/>
              <w:color w:val="auto"/>
              <w:sz w:val="24"/>
              <w:highlight w:val="none"/>
            </w:rPr>
            <w:fldChar w:fldCharType="separate"/>
          </w:r>
          <w:r>
            <w:rPr>
              <w:rFonts w:hint="eastAsia"/>
              <w:color w:val="auto"/>
              <w:sz w:val="24"/>
              <w:highlight w:val="none"/>
            </w:rPr>
            <w:t>十一、国有资本经营预算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_Toc12227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_Toc16750 </w:instrText>
          </w:r>
          <w:r>
            <w:rPr>
              <w:rFonts w:hint="eastAsia"/>
              <w:color w:val="auto"/>
              <w:sz w:val="24"/>
              <w:highlight w:val="none"/>
            </w:rPr>
            <w:fldChar w:fldCharType="separate"/>
          </w:r>
          <w:r>
            <w:rPr>
              <w:rFonts w:hint="eastAsia"/>
              <w:color w:val="auto"/>
              <w:sz w:val="24"/>
              <w:highlight w:val="none"/>
            </w:rPr>
            <w:t>十二、</w:t>
          </w:r>
          <w:r>
            <w:rPr>
              <w:rFonts w:hint="eastAsia"/>
              <w:color w:val="auto"/>
              <w:sz w:val="24"/>
              <w:highlight w:val="none"/>
              <w:lang w:eastAsia="zh-CN"/>
            </w:rPr>
            <w:t>国有资本经营预算财政拨款支出决算表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_Toc16750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pPr>
            <w:pStyle w:val="13"/>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_Toc31190 </w:instrText>
          </w:r>
          <w:r>
            <w:rPr>
              <w:rFonts w:hint="eastAsia"/>
              <w:color w:val="auto"/>
              <w:sz w:val="24"/>
              <w:highlight w:val="none"/>
            </w:rPr>
            <w:fldChar w:fldCharType="separate"/>
          </w:r>
          <w:r>
            <w:rPr>
              <w:rFonts w:hint="eastAsia"/>
              <w:color w:val="auto"/>
              <w:sz w:val="24"/>
              <w:highlight w:val="none"/>
            </w:rPr>
            <w:t>十三、</w:t>
          </w:r>
          <w:r>
            <w:rPr>
              <w:rFonts w:hint="eastAsia"/>
              <w:color w:val="auto"/>
              <w:sz w:val="24"/>
              <w:highlight w:val="none"/>
              <w:lang w:eastAsia="zh-CN"/>
            </w:rPr>
            <w:t>财政拨款“三公”经费支出决算表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_Toc31190 \h </w:instrText>
          </w:r>
          <w:r>
            <w:rPr>
              <w:rFonts w:hint="eastAsia"/>
              <w:color w:val="auto"/>
              <w:sz w:val="24"/>
              <w:highlight w:val="none"/>
            </w:rPr>
            <w:fldChar w:fldCharType="separate"/>
          </w:r>
          <w:r>
            <w:rPr>
              <w:rFonts w:hint="eastAsia"/>
              <w:color w:val="auto"/>
              <w:sz w:val="24"/>
              <w:highlight w:val="none"/>
            </w:rPr>
            <w:t>61</w:t>
          </w:r>
          <w:r>
            <w:rPr>
              <w:rFonts w:hint="eastAsia"/>
              <w:color w:val="auto"/>
              <w:sz w:val="24"/>
              <w:highlight w:val="none"/>
            </w:rPr>
            <w:fldChar w:fldCharType="end"/>
          </w:r>
          <w:r>
            <w:rPr>
              <w:rFonts w:hint="eastAsia"/>
              <w:color w:val="auto"/>
              <w:sz w:val="24"/>
              <w:highlight w:val="none"/>
            </w:rPr>
            <w:fldChar w:fldCharType="end"/>
          </w:r>
        </w:p>
        <w:p>
          <w:r>
            <w:rPr>
              <w:b/>
            </w:rPr>
            <w:fldChar w:fldCharType="end"/>
          </w:r>
          <w:bookmarkStart w:id="15" w:name="_Toc15396599"/>
          <w:bookmarkStart w:id="16" w:name="_Toc15377196"/>
        </w:p>
      </w:sdtContent>
    </w:sdt>
    <w:p>
      <w:pPr>
        <w:pStyle w:val="2"/>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17" w:name="_Toc17451"/>
    </w:p>
    <w:p>
      <w:pPr>
        <w:pStyle w:val="2"/>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pStyle w:val="3"/>
        <w:rPr>
          <w:rStyle w:val="30"/>
          <w:rFonts w:hint="eastAsia" w:ascii="仿宋" w:hAnsi="仿宋" w:eastAsia="黑体"/>
          <w:b w:val="0"/>
          <w:bCs w:val="0"/>
          <w:color w:val="auto"/>
          <w:highlight w:val="none"/>
          <w:lang w:eastAsia="zh-CN"/>
        </w:rPr>
      </w:pPr>
      <w:bookmarkStart w:id="18" w:name="_Toc15396600"/>
      <w:bookmarkStart w:id="19" w:name="_Toc15377197"/>
      <w:bookmarkStart w:id="20" w:name="_Toc4570"/>
      <w:r>
        <w:rPr>
          <w:rFonts w:hint="eastAsia" w:ascii="黑体" w:hAnsi="黑体" w:eastAsia="黑体"/>
          <w:b w:val="0"/>
          <w:color w:val="auto"/>
          <w:highlight w:val="none"/>
        </w:rPr>
        <w:t>一、</w:t>
      </w:r>
      <w:bookmarkEnd w:id="18"/>
      <w:bookmarkEnd w:id="19"/>
      <w:r>
        <w:rPr>
          <w:rFonts w:hint="eastAsia" w:ascii="黑体" w:hAnsi="黑体" w:eastAsia="黑体"/>
          <w:b w:val="0"/>
          <w:color w:val="auto"/>
          <w:highlight w:val="none"/>
          <w:lang w:eastAsia="zh-CN"/>
        </w:rPr>
        <w:t>部门职责</w:t>
      </w:r>
      <w:bookmarkEnd w:id="20"/>
    </w:p>
    <w:p>
      <w:pPr>
        <w:pStyle w:val="3"/>
        <w:ind w:firstLine="640" w:firstLineChars="200"/>
        <w:rPr>
          <w:rFonts w:hint="eastAsia" w:ascii="仿宋" w:hAnsi="仿宋" w:eastAsia="仿宋" w:cs="仿宋"/>
          <w:b w:val="0"/>
          <w:color w:val="auto"/>
          <w:highlight w:val="none"/>
          <w:lang w:val="en-US" w:eastAsia="zh-CN"/>
        </w:rPr>
      </w:pPr>
      <w:bookmarkStart w:id="21" w:name="_Toc30570"/>
      <w:bookmarkStart w:id="22" w:name="_Toc15377200"/>
      <w:bookmarkStart w:id="23" w:name="_Toc15396601"/>
      <w:r>
        <w:rPr>
          <w:rFonts w:hint="eastAsia" w:ascii="仿宋" w:hAnsi="仿宋" w:eastAsia="仿宋" w:cs="仿宋"/>
          <w:b w:val="0"/>
          <w:color w:val="auto"/>
          <w:highlight w:val="none"/>
        </w:rPr>
        <w:t>内江市市中区人民医院是一所集医疗、教学、科研、预防保健、康复和急诊急救为一体的二级甲等综合性医院。现有编制床位500张，实际开放床位525张。医院承担着为全区人民群众身体健康提供医疗与护理保健服务。从事医疗与护理、医学教学、医学研究等工作</w:t>
      </w:r>
      <w:r>
        <w:rPr>
          <w:rFonts w:hint="eastAsia" w:ascii="仿宋" w:hAnsi="仿宋" w:eastAsia="仿宋" w:cs="仿宋"/>
          <w:b w:val="0"/>
          <w:color w:val="auto"/>
          <w:highlight w:val="none"/>
          <w:lang w:eastAsia="zh-CN"/>
        </w:rPr>
        <w:t>。</w:t>
      </w:r>
      <w:bookmarkEnd w:id="21"/>
    </w:p>
    <w:p>
      <w:pPr>
        <w:pStyle w:val="3"/>
        <w:rPr>
          <w:rStyle w:val="30"/>
          <w:b w:val="0"/>
          <w:bCs w:val="0"/>
          <w:color w:val="auto"/>
          <w:highlight w:val="none"/>
        </w:rPr>
      </w:pPr>
      <w:bookmarkStart w:id="24" w:name="_Toc8470"/>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22"/>
      <w:bookmarkEnd w:id="23"/>
      <w:bookmarkEnd w:id="24"/>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内江市市中区人民医院</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5"/>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内江市市中区人民医院</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年度部门决算编制范围的二级预算单位</w:t>
      </w:r>
      <w:r>
        <w:rPr>
          <w:rFonts w:hint="eastAsia" w:ascii="仿宋" w:hAnsi="仿宋" w:eastAsia="仿宋"/>
          <w:color w:val="auto"/>
          <w:sz w:val="32"/>
          <w:szCs w:val="32"/>
          <w:highlight w:val="none"/>
          <w:lang w:eastAsia="zh-CN"/>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9"/>
          <w:rFonts w:ascii="黑体" w:hAnsi="黑体" w:eastAsia="黑体"/>
          <w:b w:val="0"/>
          <w:bCs/>
          <w:color w:val="auto"/>
          <w:highlight w:val="none"/>
        </w:rPr>
      </w:pPr>
      <w:bookmarkStart w:id="25" w:name="_Toc15377204"/>
      <w:bookmarkStart w:id="26" w:name="_Toc621"/>
      <w:bookmarkStart w:id="2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5"/>
      <w:bookmarkEnd w:id="26"/>
      <w:bookmarkEnd w:id="27"/>
    </w:p>
    <w:p>
      <w:pPr>
        <w:rPr>
          <w:color w:val="auto"/>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8" w:name="_Toc15396603"/>
      <w:bookmarkStart w:id="29" w:name="_Toc15112"/>
      <w:bookmarkStart w:id="30" w:name="_Toc15377205"/>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8"/>
      <w:bookmarkEnd w:id="29"/>
      <w:bookmarkEnd w:id="30"/>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24828.83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4429.9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21.72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是</w:t>
      </w:r>
      <w:r>
        <w:rPr>
          <w:rFonts w:hint="eastAsia" w:ascii="仿宋" w:hAnsi="仿宋" w:eastAsia="仿宋"/>
          <w:color w:val="auto"/>
          <w:sz w:val="32"/>
          <w:szCs w:val="32"/>
          <w:highlight w:val="none"/>
          <w:lang w:val="en-US" w:eastAsia="zh-CN"/>
        </w:rPr>
        <w:t>2022年度新增专项债券资金</w:t>
      </w:r>
      <w:r>
        <w:rPr>
          <w:rFonts w:hint="eastAsia" w:ascii="仿宋" w:hAnsi="仿宋" w:eastAsia="仿宋"/>
          <w:color w:val="auto"/>
          <w:sz w:val="32"/>
          <w:szCs w:val="32"/>
          <w:highlight w:val="none"/>
          <w:lang w:eastAsia="zh-CN"/>
        </w:rPr>
        <w:t>。</w:t>
      </w:r>
    </w:p>
    <w:p>
      <w:pPr>
        <w:spacing w:line="600" w:lineRule="exact"/>
        <w:jc w:val="center"/>
        <w:rPr>
          <w:rFonts w:hint="eastAsia" w:ascii="仿宋" w:hAnsi="仿宋" w:eastAsia="仿宋" w:cs="仿宋"/>
          <w:color w:val="auto"/>
          <w:sz w:val="32"/>
          <w:szCs w:val="32"/>
          <w:highlight w:val="none"/>
          <w:lang w:val="en-US"/>
        </w:rPr>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33020</wp:posOffset>
            </wp:positionV>
            <wp:extent cx="4826000" cy="2743200"/>
            <wp:effectExtent l="4445" t="4445" r="825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color w:val="auto"/>
          <w:sz w:val="32"/>
          <w:szCs w:val="32"/>
          <w:highlight w:val="none"/>
          <w:lang w:eastAsia="zh-CN"/>
        </w:rPr>
        <w:t>图</w:t>
      </w:r>
      <w:r>
        <w:rPr>
          <w:rFonts w:hint="eastAsia" w:ascii="仿宋" w:hAnsi="仿宋" w:eastAsia="仿宋" w:cs="仿宋"/>
          <w:color w:val="auto"/>
          <w:sz w:val="32"/>
          <w:szCs w:val="32"/>
          <w:highlight w:val="none"/>
          <w:lang w:val="en-US" w:eastAsia="zh-CN"/>
        </w:rPr>
        <w:t>1：收、支决算总计变动情况图</w:t>
      </w: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31" w:name="_Toc15396604"/>
      <w:bookmarkStart w:id="32" w:name="_Toc15377206"/>
      <w:bookmarkStart w:id="33" w:name="_Toc21570"/>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31"/>
      <w:bookmarkEnd w:id="32"/>
      <w:bookmarkEnd w:id="33"/>
    </w:p>
    <w:p>
      <w:pPr>
        <w:spacing w:line="600" w:lineRule="exact"/>
        <w:ind w:firstLine="640" w:firstLineChars="200"/>
        <w:outlineLvl w:val="1"/>
        <w:rPr>
          <w:rFonts w:hint="eastAsia" w:ascii="仿宋" w:hAnsi="仿宋" w:eastAsia="仿宋" w:cs="仿宋"/>
          <w:color w:val="auto"/>
          <w:sz w:val="32"/>
          <w:szCs w:val="32"/>
          <w:highlight w:val="none"/>
          <w:lang w:eastAsia="zh-CN"/>
        </w:rPr>
      </w:pPr>
      <w:bookmarkStart w:id="34" w:name="_Toc2985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24588.16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801.99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5702.89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23.19</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17509.05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71.21</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574.23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4"/>
    </w:p>
    <w:p>
      <w:pPr>
        <w:spacing w:line="600" w:lineRule="exact"/>
        <w:jc w:val="both"/>
        <w:rPr>
          <w:rFonts w:hint="eastAsia" w:ascii="仿宋" w:hAnsi="仿宋" w:eastAsia="仿宋" w:cs="仿宋"/>
          <w:color w:val="auto"/>
          <w:sz w:val="32"/>
          <w:szCs w:val="32"/>
          <w:highlight w:val="none"/>
          <w:lang w:eastAsia="zh-CN"/>
        </w:rPr>
      </w:pPr>
      <w:r>
        <w:drawing>
          <wp:anchor distT="0" distB="0" distL="114300" distR="114300" simplePos="0" relativeHeight="251661312" behindDoc="0" locked="0" layoutInCell="1" allowOverlap="1">
            <wp:simplePos x="0" y="0"/>
            <wp:positionH relativeFrom="column">
              <wp:posOffset>586105</wp:posOffset>
            </wp:positionH>
            <wp:positionV relativeFrom="paragraph">
              <wp:posOffset>637540</wp:posOffset>
            </wp:positionV>
            <wp:extent cx="4023995" cy="3218815"/>
            <wp:effectExtent l="4445" t="4445" r="10160" b="1524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eastAsia="zh-CN"/>
        </w:rPr>
        <w:t>图</w:t>
      </w:r>
      <w:r>
        <w:rPr>
          <w:rFonts w:hint="eastAsia" w:ascii="仿宋" w:hAnsi="仿宋" w:eastAsia="仿宋" w:cs="仿宋"/>
          <w:color w:val="auto"/>
          <w:sz w:val="32"/>
          <w:szCs w:val="32"/>
          <w:highlight w:val="none"/>
          <w:lang w:val="en-US" w:eastAsia="zh-CN"/>
        </w:rPr>
        <w:t>2：收入决算结构图</w:t>
      </w: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35" w:name="_Toc15396605"/>
      <w:bookmarkStart w:id="36" w:name="_Toc15377207"/>
      <w:bookmarkStart w:id="37" w:name="_Toc28616"/>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5"/>
      <w:bookmarkEnd w:id="36"/>
      <w:bookmarkEnd w:id="37"/>
    </w:p>
    <w:p>
      <w:pPr>
        <w:spacing w:line="600" w:lineRule="exact"/>
        <w:ind w:firstLine="640" w:firstLineChars="200"/>
        <w:outlineLvl w:val="1"/>
        <w:rPr>
          <w:rFonts w:ascii="仿宋" w:hAnsi="仿宋" w:eastAsia="仿宋"/>
          <w:b/>
          <w:color w:val="auto"/>
          <w:sz w:val="32"/>
          <w:szCs w:val="32"/>
          <w:highlight w:val="none"/>
        </w:rPr>
      </w:pPr>
      <w:bookmarkStart w:id="38" w:name="_Toc1847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24828.83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18646.65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75.10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6182.18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24.90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p>
    <w:p>
      <w:pPr>
        <w:spacing w:line="600" w:lineRule="exact"/>
        <w:jc w:val="center"/>
        <w:rPr>
          <w:rFonts w:ascii="仿宋_GB2312" w:eastAsia="仿宋_GB2312"/>
          <w:color w:val="auto"/>
          <w:sz w:val="32"/>
          <w:szCs w:val="32"/>
          <w:highlight w:val="none"/>
        </w:rPr>
      </w:pPr>
      <w:r>
        <w:rPr>
          <w:color w:val="auto"/>
          <w:highlight w:val="none"/>
          <w:shd w:val="clear" w:color="auto" w:fill="auto"/>
        </w:rPr>
        <w:drawing>
          <wp:anchor distT="0" distB="0" distL="114300" distR="114300" simplePos="0" relativeHeight="251662336" behindDoc="0" locked="0" layoutInCell="1" allowOverlap="1">
            <wp:simplePos x="0" y="0"/>
            <wp:positionH relativeFrom="column">
              <wp:posOffset>589915</wp:posOffset>
            </wp:positionH>
            <wp:positionV relativeFrom="paragraph">
              <wp:posOffset>83185</wp:posOffset>
            </wp:positionV>
            <wp:extent cx="4065270" cy="2912110"/>
            <wp:effectExtent l="5080" t="4445" r="6350" b="1714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shd w:val="clear" w:color="auto" w:fill="auto"/>
          <w:lang w:eastAsia="zh-CN"/>
        </w:rPr>
        <w:t>图</w:t>
      </w:r>
      <w:r>
        <w:rPr>
          <w:rFonts w:hint="eastAsia" w:ascii="仿宋" w:hAnsi="仿宋" w:eastAsia="仿宋"/>
          <w:color w:val="auto"/>
          <w:sz w:val="32"/>
          <w:szCs w:val="32"/>
          <w:highlight w:val="none"/>
          <w:shd w:val="clear" w:color="auto" w:fill="auto"/>
          <w:lang w:val="en-US" w:eastAsia="zh-CN"/>
        </w:rPr>
        <w:t>3：支出决算结构图</w:t>
      </w:r>
    </w:p>
    <w:p>
      <w:pPr>
        <w:spacing w:line="600" w:lineRule="exact"/>
        <w:ind w:firstLine="640" w:firstLineChars="200"/>
        <w:outlineLvl w:val="1"/>
        <w:rPr>
          <w:rStyle w:val="30"/>
          <w:rFonts w:ascii="黑体" w:hAnsi="黑体" w:eastAsia="黑体"/>
          <w:b w:val="0"/>
          <w:color w:val="auto"/>
          <w:highlight w:val="none"/>
        </w:rPr>
      </w:pPr>
      <w:bookmarkStart w:id="39" w:name="_Toc1378"/>
      <w:bookmarkStart w:id="40" w:name="_Toc15396606"/>
      <w:bookmarkStart w:id="41" w:name="_Toc15377208"/>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9"/>
      <w:bookmarkEnd w:id="40"/>
      <w:bookmarkEnd w:id="41"/>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6602.64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5439.77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467.79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2022年度新增专项债券资金。</w:t>
      </w:r>
    </w:p>
    <w:p>
      <w:pPr>
        <w:spacing w:line="600" w:lineRule="exact"/>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sz w:val="32"/>
          <w:szCs w:val="32"/>
        </w:rPr>
        <w:drawing>
          <wp:anchor distT="0" distB="0" distL="114300" distR="114300" simplePos="0" relativeHeight="251663360" behindDoc="0" locked="0" layoutInCell="1" allowOverlap="1">
            <wp:simplePos x="0" y="0"/>
            <wp:positionH relativeFrom="column">
              <wp:posOffset>254635</wp:posOffset>
            </wp:positionH>
            <wp:positionV relativeFrom="paragraph">
              <wp:posOffset>213995</wp:posOffset>
            </wp:positionV>
            <wp:extent cx="4826000" cy="2861945"/>
            <wp:effectExtent l="4445" t="4445" r="8255" b="1016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4：财政拨款收、支决算总计变动情况</w:t>
      </w:r>
    </w:p>
    <w:p>
      <w:pPr>
        <w:spacing w:line="600" w:lineRule="exact"/>
        <w:ind w:firstLine="640" w:firstLineChars="200"/>
        <w:outlineLvl w:val="1"/>
        <w:rPr>
          <w:rStyle w:val="30"/>
          <w:rFonts w:ascii="黑体" w:hAnsi="黑体" w:eastAsia="黑体"/>
          <w:b w:val="0"/>
          <w:color w:val="auto"/>
          <w:highlight w:val="none"/>
        </w:rPr>
      </w:pPr>
      <w:bookmarkStart w:id="42" w:name="_Toc20165"/>
      <w:bookmarkStart w:id="43" w:name="_Toc15396607"/>
      <w:bookmarkStart w:id="44"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42"/>
      <w:bookmarkEnd w:id="43"/>
      <w:bookmarkEnd w:id="44"/>
    </w:p>
    <w:p>
      <w:pPr>
        <w:spacing w:line="600" w:lineRule="exact"/>
        <w:ind w:firstLine="643" w:firstLineChars="200"/>
        <w:outlineLvl w:val="2"/>
        <w:rPr>
          <w:rFonts w:ascii="仿宋" w:hAnsi="仿宋" w:eastAsia="仿宋"/>
          <w:b/>
          <w:color w:val="auto"/>
          <w:sz w:val="32"/>
          <w:szCs w:val="32"/>
          <w:highlight w:val="none"/>
        </w:rPr>
      </w:pPr>
      <w:bookmarkStart w:id="45" w:name="_Toc15377210"/>
      <w:r>
        <w:rPr>
          <w:rFonts w:hint="eastAsia" w:ascii="仿宋" w:hAnsi="仿宋" w:eastAsia="仿宋"/>
          <w:b/>
          <w:color w:val="auto"/>
          <w:sz w:val="32"/>
          <w:szCs w:val="32"/>
          <w:highlight w:val="none"/>
        </w:rPr>
        <w:t>（一）一般公共预算财政拨款支出决算总体情况</w:t>
      </w:r>
      <w:bookmarkEnd w:id="45"/>
    </w:p>
    <w:p>
      <w:pPr>
        <w:spacing w:line="600" w:lineRule="exact"/>
        <w:ind w:firstLine="640" w:firstLineChars="20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899.75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13.63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153.25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14.55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项目支出减少。</w:t>
      </w:r>
    </w:p>
    <w:p>
      <w:pPr>
        <w:spacing w:line="600" w:lineRule="exact"/>
        <w:ind w:firstLine="640" w:firstLineChars="200"/>
        <w:rPr>
          <w:rFonts w:ascii="仿宋" w:hAnsi="仿宋" w:eastAsia="仿宋"/>
          <w:color w:val="auto"/>
          <w:sz w:val="32"/>
          <w:szCs w:val="32"/>
          <w:highlight w:val="none"/>
        </w:rPr>
      </w:pPr>
    </w:p>
    <w:p>
      <w:pPr>
        <w:pStyle w:val="5"/>
        <w:rPr>
          <w:rFonts w:ascii="仿宋" w:hAnsi="仿宋" w:eastAsia="仿宋"/>
          <w:color w:val="auto"/>
          <w:sz w:val="32"/>
          <w:szCs w:val="32"/>
          <w:highlight w:val="none"/>
        </w:rPr>
      </w:pPr>
    </w:p>
    <w:p>
      <w:pPr>
        <w:pStyle w:val="5"/>
        <w:rPr>
          <w:rFonts w:ascii="仿宋" w:hAnsi="仿宋" w:eastAsia="仿宋"/>
          <w:color w:val="auto"/>
          <w:sz w:val="32"/>
          <w:szCs w:val="32"/>
          <w:highlight w:val="none"/>
        </w:rPr>
      </w:pPr>
    </w:p>
    <w:p>
      <w:pPr>
        <w:pStyle w:val="5"/>
        <w:jc w:val="center"/>
        <w:rPr>
          <w:rFonts w:ascii="仿宋" w:hAnsi="仿宋" w:eastAsia="仿宋"/>
          <w:color w:val="auto"/>
          <w:sz w:val="32"/>
          <w:szCs w:val="32"/>
          <w:highlight w:val="none"/>
        </w:rPr>
      </w:pPr>
      <w:r>
        <w:drawing>
          <wp:inline distT="0" distB="0" distL="114300" distR="114300">
            <wp:extent cx="4826000" cy="274320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outlineLvl w:val="2"/>
        <w:rPr>
          <w:rFonts w:hint="default" w:ascii="仿宋" w:hAnsi="仿宋" w:eastAsia="仿宋"/>
          <w:b w:val="0"/>
          <w:bCs/>
          <w:color w:val="auto"/>
          <w:sz w:val="32"/>
          <w:szCs w:val="32"/>
          <w:highlight w:val="none"/>
          <w:lang w:val="en-US" w:eastAsia="zh-CN"/>
        </w:rPr>
      </w:pPr>
      <w:bookmarkStart w:id="46" w:name="_Toc15377211"/>
      <w:r>
        <w:rPr>
          <w:rFonts w:hint="eastAsia" w:ascii="仿宋" w:hAnsi="仿宋" w:eastAsia="仿宋"/>
          <w:b w:val="0"/>
          <w:bCs/>
          <w:color w:val="auto"/>
          <w:sz w:val="32"/>
          <w:szCs w:val="32"/>
          <w:highlight w:val="none"/>
          <w:lang w:eastAsia="zh-CN"/>
        </w:rPr>
        <w:t>图</w:t>
      </w:r>
      <w:r>
        <w:rPr>
          <w:rFonts w:hint="eastAsia" w:ascii="仿宋" w:hAnsi="仿宋" w:eastAsia="仿宋"/>
          <w:b w:val="0"/>
          <w:bCs/>
          <w:color w:val="auto"/>
          <w:sz w:val="32"/>
          <w:szCs w:val="32"/>
          <w:highlight w:val="none"/>
          <w:lang w:val="en-US" w:eastAsia="zh-CN"/>
        </w:rPr>
        <w:t>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46"/>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899.75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val="0"/>
          <w:bCs w:val="0"/>
          <w:color w:val="auto"/>
          <w:sz w:val="32"/>
          <w:szCs w:val="32"/>
          <w:highlight w:val="none"/>
          <w:lang w:val="en-US" w:eastAsia="zh-CN"/>
        </w:rPr>
        <w:t>19.11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880.64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417195</wp:posOffset>
            </wp:positionH>
            <wp:positionV relativeFrom="paragraph">
              <wp:posOffset>57150</wp:posOffset>
            </wp:positionV>
            <wp:extent cx="4552315" cy="2743200"/>
            <wp:effectExtent l="4445" t="5080" r="15240" b="1397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lang w:eastAsia="zh-CN"/>
        </w:rPr>
        <w:t>图</w:t>
      </w:r>
      <w:r>
        <w:rPr>
          <w:rFonts w:hint="eastAsia" w:ascii="仿宋" w:hAnsi="仿宋" w:eastAsia="仿宋"/>
          <w:color w:val="auto"/>
          <w:sz w:val="32"/>
          <w:szCs w:val="32"/>
          <w:highlight w:val="none"/>
          <w:lang w:val="en-US" w:eastAsia="zh-CN"/>
        </w:rPr>
        <w:t>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47" w:name="_Toc15377212"/>
      <w:r>
        <w:rPr>
          <w:rFonts w:hint="eastAsia" w:ascii="仿宋" w:hAnsi="仿宋" w:eastAsia="仿宋"/>
          <w:b/>
          <w:color w:val="auto"/>
          <w:sz w:val="32"/>
          <w:szCs w:val="32"/>
          <w:highlight w:val="none"/>
        </w:rPr>
        <w:t>（三）一般公共预算财政拨款支出决算具体情况</w:t>
      </w:r>
      <w:bookmarkEnd w:id="47"/>
    </w:p>
    <w:p>
      <w:pPr>
        <w:spacing w:line="600" w:lineRule="exact"/>
        <w:ind w:firstLine="643" w:firstLineChars="200"/>
        <w:outlineLvl w:val="1"/>
        <w:rPr>
          <w:rFonts w:ascii="仿宋" w:hAnsi="仿宋" w:eastAsia="仿宋"/>
          <w:color w:val="auto"/>
          <w:sz w:val="32"/>
          <w:szCs w:val="32"/>
          <w:highlight w:val="none"/>
        </w:rPr>
      </w:pPr>
      <w:bookmarkStart w:id="48" w:name="_Toc15377213"/>
      <w:bookmarkStart w:id="49" w:name="_Toc15377444"/>
      <w:bookmarkStart w:id="50" w:name="_Toc13085"/>
      <w:bookmarkStart w:id="51"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899.75</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8"/>
      <w:bookmarkEnd w:id="49"/>
      <w:bookmarkEnd w:id="50"/>
      <w:bookmarkEnd w:id="51"/>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社会保障和就业（类）行政事业单位养老支出（款）事业单位离退休（项）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19.11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2</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（类）公立医院（款）综合医院（项）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200.99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（类）公立医院（款）其他公立医院支出（项）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（类）基层医疗卫生机构（款）其他基层医疗卫生机构支出（项）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71.1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（类）公共卫生（款）基本公共卫生服务（项）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139.81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6</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（类）公共卫生（款）重大公共卫生服务（项）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38.68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（类）公共卫生（款）突发公共卫生事件应急处理（项）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384.64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8</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（类）公共卫生（款）其他公共卫生支出（项）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7.42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p>
    <w:p>
      <w:pPr>
        <w:spacing w:line="600" w:lineRule="exact"/>
        <w:ind w:firstLine="643" w:firstLineChars="200"/>
        <w:rPr>
          <w:rFonts w:hint="eastAsia" w:ascii="黑体" w:eastAsia="黑体"/>
          <w:color w:val="auto"/>
          <w:sz w:val="32"/>
          <w:szCs w:val="32"/>
          <w:highlight w:val="none"/>
        </w:rPr>
      </w:pPr>
      <w:r>
        <w:rPr>
          <w:rStyle w:val="18"/>
          <w:rFonts w:hint="eastAsia" w:ascii="仿宋" w:hAnsi="仿宋" w:eastAsia="仿宋"/>
          <w:bCs/>
          <w:color w:val="auto"/>
          <w:sz w:val="32"/>
          <w:szCs w:val="32"/>
          <w:highlight w:val="none"/>
          <w:lang w:val="en-US" w:eastAsia="zh-CN"/>
        </w:rPr>
        <w:t>9</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（类）其他卫生健康支出（款）其他卫生健康支出（项）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，决算数等于预算数</w:t>
      </w:r>
      <w:r>
        <w:rPr>
          <w:rStyle w:val="18"/>
          <w:rFonts w:hint="eastAsia" w:ascii="仿宋" w:hAnsi="仿宋" w:eastAsia="仿宋"/>
          <w:b w:val="0"/>
          <w:bCs/>
          <w:color w:val="auto"/>
          <w:sz w:val="32"/>
          <w:szCs w:val="32"/>
          <w:highlight w:val="none"/>
        </w:rPr>
        <w:t>。</w:t>
      </w:r>
      <w:bookmarkStart w:id="52" w:name="_Toc15377214"/>
      <w:bookmarkStart w:id="53" w:name="_Toc15396608"/>
    </w:p>
    <w:p>
      <w:pPr>
        <w:tabs>
          <w:tab w:val="right" w:pos="8306"/>
        </w:tabs>
        <w:spacing w:line="600" w:lineRule="exact"/>
        <w:ind w:firstLine="640"/>
        <w:outlineLvl w:val="1"/>
        <w:rPr>
          <w:rStyle w:val="30"/>
          <w:color w:val="auto"/>
          <w:highlight w:val="none"/>
        </w:rPr>
      </w:pPr>
      <w:bookmarkStart w:id="54" w:name="_Toc14910"/>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2"/>
      <w:bookmarkEnd w:id="53"/>
      <w:bookmarkEnd w:id="54"/>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420.46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376.32</w:t>
      </w:r>
      <w:r>
        <w:rPr>
          <w:rFonts w:hint="eastAsia" w:ascii="仿宋" w:hAnsi="仿宋" w:eastAsia="仿宋"/>
          <w:color w:val="auto"/>
          <w:sz w:val="32"/>
          <w:szCs w:val="32"/>
          <w:highlight w:val="none"/>
        </w:rPr>
        <w:t>万元，主要包括：基本工资、绩效工资、</w:t>
      </w:r>
      <w:r>
        <w:rPr>
          <w:rFonts w:hint="eastAsia" w:ascii="仿宋" w:hAnsi="仿宋" w:eastAsia="仿宋"/>
          <w:color w:val="auto"/>
          <w:sz w:val="32"/>
          <w:szCs w:val="32"/>
          <w:highlight w:val="none"/>
          <w:lang w:eastAsia="zh-CN"/>
        </w:rPr>
        <w:t>其他工资福利支出</w:t>
      </w:r>
      <w:r>
        <w:rPr>
          <w:rFonts w:hint="eastAsia" w:ascii="仿宋" w:hAnsi="仿宋" w:eastAsia="仿宋"/>
          <w:color w:val="auto"/>
          <w:sz w:val="32"/>
          <w:szCs w:val="32"/>
          <w:highlight w:val="none"/>
        </w:rPr>
        <w:t>、离休费、生活补助、其他对个人和家庭的补助支出。</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44.14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eastAsia="zh-CN"/>
        </w:rPr>
        <w:t>、专用材料费、其他商品和服务支出</w:t>
      </w:r>
      <w:r>
        <w:rPr>
          <w:rFonts w:hint="eastAsia" w:ascii="仿宋" w:hAnsi="仿宋" w:eastAsia="仿宋"/>
          <w:color w:val="auto"/>
          <w:sz w:val="32"/>
          <w:szCs w:val="32"/>
          <w:highlight w:val="none"/>
        </w:rPr>
        <w:t>。</w:t>
      </w:r>
    </w:p>
    <w:p>
      <w:pPr>
        <w:spacing w:line="600" w:lineRule="exact"/>
        <w:ind w:firstLine="640"/>
        <w:outlineLvl w:val="1"/>
        <w:rPr>
          <w:rStyle w:val="30"/>
          <w:rFonts w:ascii="黑体" w:hAnsi="黑体" w:eastAsia="黑体"/>
          <w:b w:val="0"/>
          <w:color w:val="auto"/>
          <w:highlight w:val="none"/>
        </w:rPr>
      </w:pPr>
      <w:bookmarkStart w:id="55" w:name="_Toc26443"/>
      <w:bookmarkStart w:id="56" w:name="_Toc15377215"/>
      <w:bookmarkStart w:id="57" w:name="_Toc15396609"/>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5377216"/>
      <w:r>
        <w:rPr>
          <w:rFonts w:hint="eastAsia" w:ascii="仿宋" w:hAnsi="仿宋" w:eastAsia="仿宋"/>
          <w:b/>
          <w:color w:val="auto"/>
          <w:sz w:val="32"/>
          <w:szCs w:val="32"/>
          <w:highlight w:val="none"/>
        </w:rPr>
        <w:t>（一）“三公”经费财政拨款支出决算总体情况说明</w:t>
      </w:r>
      <w:bookmarkEnd w:id="5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决算数与预算数持平</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lang w:val="en-US" w:eastAsia="zh-CN"/>
        </w:rPr>
        <w:t>2021年决算数持平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59" w:name="_Toc15377217"/>
      <w:r>
        <w:rPr>
          <w:rFonts w:hint="eastAsia" w:ascii="仿宋" w:hAnsi="仿宋" w:eastAsia="仿宋"/>
          <w:b/>
          <w:color w:val="auto"/>
          <w:sz w:val="32"/>
          <w:szCs w:val="32"/>
          <w:highlight w:val="none"/>
        </w:rPr>
        <w:t>（二）“三公”经费财政拨款支出决算具体情况说明</w:t>
      </w:r>
      <w:bookmarkEnd w:id="5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 w:hAnsi="仿宋" w:eastAsia="仿宋" w:cs="仿宋"/>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数与</w:t>
      </w:r>
      <w:r>
        <w:rPr>
          <w:rFonts w:hint="eastAsia" w:ascii="仿宋_GB2312" w:eastAsia="仿宋_GB2312"/>
          <w:color w:val="auto"/>
          <w:sz w:val="32"/>
          <w:szCs w:val="32"/>
          <w:highlight w:val="none"/>
          <w:lang w:val="en-US" w:eastAsia="zh-CN"/>
        </w:rPr>
        <w:t>2021年持平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数与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数与</w:t>
      </w:r>
      <w:r>
        <w:rPr>
          <w:rFonts w:hint="eastAsia" w:ascii="仿宋_GB2312" w:eastAsia="仿宋_GB2312"/>
          <w:color w:val="auto"/>
          <w:sz w:val="32"/>
          <w:szCs w:val="32"/>
          <w:highlight w:val="none"/>
          <w:lang w:val="en-US" w:eastAsia="zh-CN"/>
        </w:rPr>
        <w:t>2021年持平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60" w:name="_Toc15377218"/>
      <w:bookmarkStart w:id="61" w:name="_Toc15396610"/>
    </w:p>
    <w:p>
      <w:pPr>
        <w:spacing w:line="600" w:lineRule="exact"/>
        <w:ind w:firstLine="640"/>
        <w:outlineLvl w:val="1"/>
        <w:rPr>
          <w:rStyle w:val="30"/>
          <w:rFonts w:ascii="黑体" w:hAnsi="黑体" w:eastAsia="黑体"/>
          <w:color w:val="auto"/>
          <w:highlight w:val="none"/>
        </w:rPr>
      </w:pPr>
      <w:bookmarkStart w:id="62" w:name="_Toc15368"/>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0"/>
      <w:bookmarkEnd w:id="61"/>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5702.89</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0"/>
          <w:rFonts w:ascii="黑体" w:hAnsi="黑体" w:eastAsia="黑体"/>
          <w:b w:val="0"/>
          <w:color w:val="auto"/>
          <w:highlight w:val="none"/>
        </w:rPr>
      </w:pPr>
      <w:bookmarkStart w:id="63" w:name="_Toc151"/>
      <w:bookmarkStart w:id="64" w:name="_Toc15396611"/>
      <w:bookmarkStart w:id="65" w:name="_Toc15377219"/>
      <w:r>
        <w:rPr>
          <w:rStyle w:val="30"/>
          <w:rFonts w:hint="eastAsia" w:ascii="黑体" w:hAnsi="黑体" w:eastAsia="黑体"/>
          <w:b w:val="0"/>
          <w:color w:val="auto"/>
          <w:highlight w:val="none"/>
        </w:rPr>
        <w:t>国有资本经营预算支出决算情况说明</w:t>
      </w:r>
      <w:bookmarkEnd w:id="63"/>
      <w:bookmarkEnd w:id="64"/>
      <w:bookmarkEnd w:id="6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0"/>
          <w:rFonts w:hint="eastAsia" w:ascii="黑体" w:hAnsi="黑体" w:eastAsia="黑体"/>
          <w:b w:val="0"/>
          <w:color w:val="auto"/>
          <w:highlight w:val="none"/>
        </w:rPr>
      </w:pPr>
      <w:bookmarkStart w:id="66" w:name="_Toc15377221"/>
      <w:bookmarkStart w:id="67" w:name="_Toc10051"/>
      <w:bookmarkStart w:id="68" w:name="_Toc15396612"/>
      <w:r>
        <w:rPr>
          <w:rStyle w:val="30"/>
          <w:rFonts w:hint="eastAsia" w:ascii="黑体" w:hAnsi="黑体" w:eastAsia="黑体"/>
          <w:b w:val="0"/>
          <w:color w:val="auto"/>
          <w:highlight w:val="none"/>
        </w:rPr>
        <w:t>其他重要事项的情况说明</w:t>
      </w:r>
      <w:bookmarkEnd w:id="66"/>
      <w:bookmarkEnd w:id="67"/>
      <w:bookmarkEnd w:id="68"/>
    </w:p>
    <w:p>
      <w:pPr>
        <w:spacing w:line="600" w:lineRule="exact"/>
        <w:ind w:firstLine="643" w:firstLineChars="200"/>
        <w:outlineLvl w:val="2"/>
        <w:rPr>
          <w:rFonts w:ascii="仿宋" w:hAnsi="仿宋" w:eastAsia="仿宋"/>
          <w:color w:val="auto"/>
          <w:sz w:val="32"/>
          <w:szCs w:val="32"/>
          <w:highlight w:val="none"/>
        </w:rPr>
      </w:pPr>
      <w:bookmarkStart w:id="69" w:name="_Toc15377222"/>
      <w:r>
        <w:rPr>
          <w:rFonts w:hint="eastAsia" w:ascii="仿宋" w:hAnsi="仿宋" w:eastAsia="仿宋"/>
          <w:b/>
          <w:color w:val="auto"/>
          <w:sz w:val="32"/>
          <w:szCs w:val="32"/>
          <w:highlight w:val="none"/>
        </w:rPr>
        <w:t>（一）机关运行经费支出情况</w:t>
      </w:r>
      <w:bookmarkEnd w:id="69"/>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内江市市中区人民医院属于公益二类事业单位，无机关运行经费。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0" w:name="_Toc15377223"/>
      <w:r>
        <w:rPr>
          <w:rFonts w:hint="eastAsia" w:ascii="仿宋" w:hAnsi="仿宋" w:eastAsia="仿宋"/>
          <w:b/>
          <w:color w:val="auto"/>
          <w:sz w:val="32"/>
          <w:szCs w:val="32"/>
          <w:highlight w:val="none"/>
        </w:rPr>
        <w:t>（二）政府采购支出情况</w:t>
      </w:r>
      <w:bookmarkEnd w:id="70"/>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内江市市中区人民医院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11662.61</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2074.32</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9588.29</w:t>
      </w:r>
      <w:r>
        <w:rPr>
          <w:rFonts w:hint="eastAsia" w:ascii="仿宋_GB2312" w:eastAsia="仿宋_GB2312"/>
          <w:color w:val="auto"/>
          <w:sz w:val="32"/>
          <w:szCs w:val="32"/>
          <w:highlight w:val="none"/>
        </w:rPr>
        <w:t>万元。主要</w:t>
      </w:r>
      <w:r>
        <w:rPr>
          <w:rFonts w:hint="eastAsia" w:ascii="仿宋_GB2312" w:eastAsia="仿宋_GB2312"/>
          <w:color w:val="auto"/>
          <w:sz w:val="32"/>
          <w:szCs w:val="32"/>
          <w:highlight w:val="none"/>
          <w:lang w:eastAsia="zh-CN"/>
        </w:rPr>
        <w:t>用于白马分院业务用房建设、医疗业务服务、洗地服务、污水处理站维保服务等</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10698.46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91.73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1466.77</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12.58</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1" w:name="_Toc15377224"/>
      <w:r>
        <w:rPr>
          <w:rFonts w:hint="eastAsia" w:ascii="仿宋" w:hAnsi="仿宋" w:eastAsia="仿宋"/>
          <w:b/>
          <w:color w:val="auto"/>
          <w:sz w:val="32"/>
          <w:szCs w:val="32"/>
          <w:highlight w:val="none"/>
        </w:rPr>
        <w:t>（三）国有资产占有使用情况</w:t>
      </w:r>
      <w:bookmarkEnd w:id="71"/>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内江市市中区人民医院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、特种专业技术用车</w:t>
      </w:r>
      <w:r>
        <w:rPr>
          <w:rFonts w:hint="eastAsia" w:ascii="仿宋_GB2312" w:eastAsia="仿宋_GB2312"/>
          <w:color w:val="auto"/>
          <w:sz w:val="32"/>
          <w:szCs w:val="32"/>
          <w:highlight w:val="none"/>
          <w:lang w:val="en-US" w:eastAsia="zh-CN"/>
        </w:rPr>
        <w:t>10辆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年度预算编制阶段，组织对2022年医疗服务与保障能力提升（公立医院综合改革）补助资金项目等</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个项目开展绩效监控。</w:t>
      </w:r>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内江市市中区人民医院</w:t>
      </w:r>
      <w:r>
        <w:rPr>
          <w:rFonts w:hint="eastAsia" w:ascii="仿宋_GB2312" w:hAnsi="仿宋_GB2312" w:eastAsia="仿宋_GB2312" w:cs="仿宋_GB2312"/>
          <w:color w:val="auto"/>
          <w:sz w:val="32"/>
          <w:szCs w:val="32"/>
          <w:highlight w:val="none"/>
        </w:rPr>
        <w:t>部门整体（含部门预算项目）绩效自评报告、2022年医疗服务与保障能力提升（公立医院综合改革）补助资金项目等专项预算项目绩效自评报告，其中，</w:t>
      </w:r>
      <w:r>
        <w:rPr>
          <w:rFonts w:hint="eastAsia" w:ascii="仿宋_GB2312" w:hAnsi="仿宋_GB2312" w:eastAsia="仿宋_GB2312" w:cs="仿宋_GB2312"/>
          <w:color w:val="auto"/>
          <w:sz w:val="32"/>
          <w:szCs w:val="32"/>
          <w:highlight w:val="none"/>
          <w:lang w:eastAsia="zh-CN"/>
        </w:rPr>
        <w:t>内江市市中区人民医院</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87.57</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我院</w:t>
      </w:r>
      <w:r>
        <w:rPr>
          <w:rFonts w:hint="eastAsia" w:ascii="仿宋_GB2312" w:hAnsi="仿宋_GB2312" w:eastAsia="仿宋_GB2312" w:cs="仿宋_GB2312"/>
          <w:color w:val="auto"/>
          <w:sz w:val="32"/>
          <w:szCs w:val="32"/>
          <w:highlight w:val="none"/>
        </w:rPr>
        <w:t>作为公益</w:t>
      </w:r>
      <w:r>
        <w:rPr>
          <w:rFonts w:hint="eastAsia" w:ascii="仿宋_GB2312" w:hAnsi="仿宋_GB2312" w:eastAsia="仿宋_GB2312" w:cs="仿宋_GB2312"/>
          <w:color w:val="auto"/>
          <w:sz w:val="32"/>
          <w:szCs w:val="32"/>
          <w:highlight w:val="none"/>
          <w:lang w:eastAsia="zh-CN"/>
        </w:rPr>
        <w:t>二类</w:t>
      </w:r>
      <w:r>
        <w:rPr>
          <w:rFonts w:hint="eastAsia" w:ascii="仿宋_GB2312" w:hAnsi="仿宋_GB2312" w:eastAsia="仿宋_GB2312" w:cs="仿宋_GB2312"/>
          <w:color w:val="auto"/>
          <w:sz w:val="32"/>
          <w:szCs w:val="32"/>
          <w:highlight w:val="none"/>
        </w:rPr>
        <w:t>类非盈利性医疗事业单位，为满足广大人民群众日益增长的医疗需求，医疗环境及医疗设备亟需改善，专业医疗人才缺口仍较大</w:t>
      </w:r>
      <w:r>
        <w:rPr>
          <w:rFonts w:hint="eastAsia" w:ascii="仿宋_GB2312" w:hAnsi="仿宋_GB2312" w:eastAsia="仿宋_GB2312" w:cs="仿宋_GB2312"/>
          <w:color w:val="auto"/>
          <w:sz w:val="32"/>
          <w:szCs w:val="32"/>
          <w:highlight w:val="none"/>
          <w:lang w:eastAsia="zh-CN"/>
        </w:rPr>
        <w:t>，今后我院将</w:t>
      </w:r>
      <w:r>
        <w:rPr>
          <w:rFonts w:hint="eastAsia" w:ascii="仿宋_GB2312" w:hAnsi="仿宋_GB2312" w:eastAsia="仿宋_GB2312" w:cs="仿宋_GB2312"/>
          <w:color w:val="auto"/>
          <w:sz w:val="32"/>
          <w:szCs w:val="32"/>
          <w:highlight w:val="none"/>
        </w:rPr>
        <w:t>继续加强公立医院建设，改善就医环境，更新医疗设备，</w:t>
      </w:r>
      <w:r>
        <w:rPr>
          <w:rFonts w:hint="eastAsia" w:ascii="仿宋_GB2312" w:hAnsi="仿宋_GB2312" w:eastAsia="仿宋_GB2312" w:cs="仿宋_GB2312"/>
          <w:color w:val="auto"/>
          <w:sz w:val="32"/>
          <w:szCs w:val="32"/>
          <w:highlight w:val="none"/>
          <w:lang w:eastAsia="zh-CN"/>
        </w:rPr>
        <w:t>引进专业技术人才</w:t>
      </w:r>
      <w:r>
        <w:rPr>
          <w:rFonts w:hint="eastAsia" w:ascii="仿宋_GB2312" w:hAnsi="仿宋_GB2312" w:eastAsia="仿宋_GB2312" w:cs="仿宋_GB2312"/>
          <w:color w:val="auto"/>
          <w:sz w:val="32"/>
          <w:szCs w:val="32"/>
          <w:highlight w:val="none"/>
        </w:rPr>
        <w:t>，更好的为人民群众提供优质医疗服务；2022年医疗服务与保障能力提升（公立医院综合改革）补助资金专项预算项目绩效自评得分为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本项目绩效指标基本完成，执行效率较高，今后我院将继续加强财务与业务人员预算管理相关知识学习，建立健全内部预算管理控制机制</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9"/>
          <w:rFonts w:ascii="黑体" w:hAnsi="黑体" w:eastAsia="黑体"/>
          <w:b w:val="0"/>
          <w:color w:val="auto"/>
          <w:highlight w:val="none"/>
        </w:rPr>
      </w:pPr>
      <w:bookmarkStart w:id="72" w:name="_Toc24611"/>
      <w:bookmarkStart w:id="73" w:name="_Toc15396613"/>
      <w:bookmarkStart w:id="74" w:name="_Toc15377225"/>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2"/>
      <w:bookmarkEnd w:id="73"/>
      <w:bookmarkEnd w:id="74"/>
    </w:p>
    <w:p>
      <w:pPr>
        <w:spacing w:line="600" w:lineRule="exact"/>
        <w:jc w:val="left"/>
        <w:rPr>
          <w:rFonts w:ascii="宋体"/>
          <w:b/>
          <w:color w:val="auto"/>
          <w:sz w:val="44"/>
          <w:szCs w:val="44"/>
          <w:highlight w:val="none"/>
        </w:rPr>
      </w:pPr>
    </w:p>
    <w:p>
      <w:pPr>
        <w:pStyle w:val="27"/>
        <w:spacing w:line="560" w:lineRule="exact"/>
        <w:ind w:firstLine="640" w:firstLineChars="200"/>
        <w:outlineLvl w:val="1"/>
        <w:rPr>
          <w:rFonts w:ascii="仿宋_GB2312" w:eastAsia="仿宋_GB2312"/>
          <w:color w:val="auto"/>
          <w:sz w:val="32"/>
          <w:szCs w:val="32"/>
          <w:highlight w:val="none"/>
        </w:rPr>
      </w:pPr>
      <w:bookmarkStart w:id="75" w:name="_Toc20745"/>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5"/>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w:t>
      </w:r>
      <w:r>
        <w:rPr>
          <w:rFonts w:hint="eastAsia" w:ascii="仿宋_GB2312" w:eastAsia="仿宋_GB2312"/>
          <w:color w:val="auto"/>
          <w:sz w:val="32"/>
          <w:szCs w:val="32"/>
          <w:highlight w:val="none"/>
          <w:lang w:eastAsia="zh-CN"/>
        </w:rPr>
        <w:t>医疗业务收入</w:t>
      </w:r>
      <w:r>
        <w:rPr>
          <w:rFonts w:hint="eastAsia" w:ascii="仿宋_GB2312" w:eastAsia="仿宋_GB2312"/>
          <w:color w:val="auto"/>
          <w:sz w:val="32"/>
          <w:szCs w:val="32"/>
          <w:highlight w:val="none"/>
        </w:rPr>
        <w:t>等。</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银行存款利息收入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事业单位离退休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反映事业单位开支的离退休经费</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公立医院</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综合医院</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反映卫生健康、中医部门所属的城市综合性医院、独立门诊、教学医院、疗养院和县医院的支出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公立医院</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其他公立医院支出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反映除上述项目以外的其他用于公立医院方面的支出。</w:t>
      </w:r>
    </w:p>
    <w:p>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基层医疗卫生机构</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其他基层医疗卫生机构支出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反映除上述项目以外的其他用于基层医疗卫生机构的支出。</w:t>
      </w:r>
    </w:p>
    <w:p>
      <w:pPr>
        <w:ind w:firstLine="640" w:firstLineChars="200"/>
        <w:rPr>
          <w:rFonts w:hint="eastAsia"/>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公共卫生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基本公共卫生服务</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反映基本公共卫生服务支出。</w:t>
      </w:r>
    </w:p>
    <w:p>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公共卫生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重大公共卫生服务</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反映重大疾病、重大传染病预防控制等重大公共卫生服务项目支出。</w:t>
      </w:r>
    </w:p>
    <w:p>
      <w:pPr>
        <w:ind w:firstLine="640" w:firstLineChars="200"/>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公共卫生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突发公共卫生事件应急处理</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反映用于突发公共卫生事件应急处理的支出。</w:t>
      </w:r>
    </w:p>
    <w:p>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公共卫生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其他公共卫生支出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反映除上述项目以外的其他用于公共卫生方面的支出。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其他卫生健康支出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其他卫生健康支出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反映除上述项目以外其他用于卫生健康方面的支出。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城乡社区</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其他国有土地使用权出让收入安排的支出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反映土地出让收入用于其他方面的支出。不包括市县级政府当年按规定用土地出让收入向中央和省级政府缴纳的新增建设用地土地有偿使用费的支出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lang w:eastAsia="zh-CN"/>
        </w:rPr>
        <w:t>其他支出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其他政府性基金及对应专项债务收入安排的支出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其他地方自行试点项目收益专项债券收入安排的支出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其他地方自行试点项目收益专项债券收入安排的支出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eastAsia" w:ascii="黑体" w:hAnsi="黑体" w:eastAsia="黑体"/>
          <w:b w:val="0"/>
          <w:color w:val="auto"/>
          <w:highlight w:val="none"/>
          <w:lang w:eastAsia="zh-CN"/>
        </w:rPr>
      </w:pPr>
      <w:bookmarkStart w:id="76" w:name="_Toc15377226"/>
      <w:r>
        <w:rPr>
          <w:rFonts w:ascii="宋体"/>
          <w:b/>
          <w:color w:val="auto"/>
          <w:sz w:val="44"/>
          <w:szCs w:val="44"/>
          <w:highlight w:val="none"/>
        </w:rPr>
        <w:br w:type="page"/>
      </w:r>
      <w:bookmarkStart w:id="77" w:name="_Toc1329"/>
      <w:bookmarkStart w:id="78" w:name="_Toc1539661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77"/>
      <w:bookmarkEnd w:id="78"/>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79" w:name="_Toc201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79"/>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b w:val="0"/>
          <w:bCs/>
          <w:color w:val="auto"/>
          <w:sz w:val="44"/>
          <w:szCs w:val="44"/>
          <w:highlight w:val="none"/>
          <w:shd w:val="clear" w:color="auto" w:fill="FFFFFF"/>
        </w:rPr>
        <w:t>20</w:t>
      </w:r>
      <w:r>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t>22年内江市市中区人民医院</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FFFFFF"/>
        </w:rPr>
      </w:pPr>
      <w:r>
        <w:rPr>
          <w:rFonts w:hint="eastAsia" w:ascii="方正小标宋简体" w:hAnsi="方正小标宋简体" w:eastAsia="方正小标宋简体" w:cs="方正小标宋简体"/>
          <w:b w:val="0"/>
          <w:bCs/>
          <w:color w:val="auto"/>
          <w:sz w:val="44"/>
          <w:szCs w:val="44"/>
          <w:highlight w:val="none"/>
          <w:shd w:val="clear" w:color="auto" w:fill="FFFFFF"/>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80" w:name="_Toc18268"/>
      <w:r>
        <w:rPr>
          <w:rFonts w:hint="eastAsia" w:ascii="黑体" w:hAnsi="宋体" w:eastAsia="黑体" w:cs="宋体"/>
          <w:color w:val="auto"/>
          <w:kern w:val="0"/>
          <w:sz w:val="32"/>
          <w:szCs w:val="32"/>
          <w:highlight w:val="none"/>
          <w:shd w:val="clear" w:color="auto" w:fill="FFFFFF"/>
          <w:lang w:val="zh-CN"/>
        </w:rPr>
        <w:t>部门（单位）基本情况</w:t>
      </w:r>
      <w:bookmarkEnd w:id="8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内江市市中区人民医院属公益二类事业单位</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lang w:val="zh-CN"/>
        </w:rPr>
        <w:t>设置有职能科室17个，临床科室</w:t>
      </w:r>
      <w:r>
        <w:rPr>
          <w:rFonts w:hint="eastAsia" w:ascii="仿宋_GB2312" w:hAnsi="仿宋_GB2312" w:eastAsia="仿宋_GB2312" w:cs="仿宋_GB2312"/>
          <w:color w:val="000000"/>
          <w:kern w:val="0"/>
          <w:sz w:val="32"/>
          <w:szCs w:val="32"/>
          <w:shd w:val="clear" w:color="auto" w:fill="FFFFFF"/>
          <w:lang w:val="en-US" w:eastAsia="zh-CN"/>
        </w:rPr>
        <w:t>18个（其中市级重点专科4个）</w:t>
      </w:r>
      <w:r>
        <w:rPr>
          <w:rFonts w:hint="eastAsia" w:ascii="仿宋_GB2312" w:hAnsi="仿宋_GB2312" w:eastAsia="仿宋_GB2312" w:cs="仿宋_GB2312"/>
          <w:color w:val="000000"/>
          <w:kern w:val="0"/>
          <w:sz w:val="32"/>
          <w:szCs w:val="32"/>
          <w:shd w:val="clear" w:color="auto" w:fill="FFFFFF"/>
          <w:lang w:val="zh-CN"/>
        </w:rPr>
        <w:t>，医技科室</w:t>
      </w:r>
      <w:r>
        <w:rPr>
          <w:rFonts w:hint="eastAsia" w:ascii="仿宋_GB2312" w:hAnsi="仿宋_GB2312" w:eastAsia="仿宋_GB2312" w:cs="仿宋_GB2312"/>
          <w:color w:val="000000"/>
          <w:kern w:val="0"/>
          <w:sz w:val="32"/>
          <w:szCs w:val="32"/>
          <w:shd w:val="clear" w:color="auto" w:fill="FFFFFF"/>
          <w:lang w:val="en-US" w:eastAsia="zh-CN"/>
        </w:rPr>
        <w:t>9个</w:t>
      </w:r>
      <w:r>
        <w:rPr>
          <w:rFonts w:hint="eastAsia" w:ascii="仿宋_GB2312" w:hAnsi="仿宋_GB2312" w:eastAsia="仿宋_GB2312" w:cs="仿宋_GB2312"/>
          <w:color w:val="000000"/>
          <w:kern w:val="0"/>
          <w:sz w:val="32"/>
          <w:szCs w:val="32"/>
          <w:shd w:val="clear" w:color="auto" w:fill="FFFFFF"/>
          <w:lang w:val="zh-CN"/>
        </w:rPr>
        <w:t>。各</w:t>
      </w:r>
      <w:r>
        <w:rPr>
          <w:rFonts w:hint="eastAsia" w:ascii="仿宋_GB2312" w:hAnsi="仿宋_GB2312" w:eastAsia="仿宋_GB2312" w:cs="仿宋_GB2312"/>
          <w:color w:val="000000"/>
          <w:kern w:val="0"/>
          <w:sz w:val="32"/>
          <w:szCs w:val="32"/>
          <w:shd w:val="clear" w:color="auto" w:fill="FFFFFF"/>
          <w:lang w:val="zh-CN" w:eastAsia="zh-CN"/>
        </w:rPr>
        <w:t>科室</w:t>
      </w:r>
      <w:r>
        <w:rPr>
          <w:rFonts w:hint="eastAsia" w:ascii="仿宋_GB2312" w:hAnsi="仿宋_GB2312" w:eastAsia="仿宋_GB2312" w:cs="仿宋_GB2312"/>
          <w:color w:val="000000"/>
          <w:kern w:val="0"/>
          <w:sz w:val="32"/>
          <w:szCs w:val="32"/>
          <w:shd w:val="clear" w:color="auto" w:fill="FFFFFF"/>
          <w:lang w:val="zh-CN"/>
        </w:rPr>
        <w:t>职能职责如下表所示：</w:t>
      </w:r>
    </w:p>
    <w:p>
      <w:pPr>
        <w:pStyle w:val="8"/>
        <w:jc w:val="center"/>
        <w:rPr>
          <w:rFonts w:hint="default" w:ascii="Times New Roman" w:hAnsi="Times New Roman" w:eastAsia="仿宋_GB2312" w:cs="Times New Roman"/>
          <w:b/>
          <w:bCs/>
          <w:color w:val="auto"/>
          <w:kern w:val="0"/>
          <w:sz w:val="28"/>
          <w:szCs w:val="28"/>
          <w:highlight w:val="none"/>
          <w:shd w:val="clear" w:color="auto" w:fill="FFFFFF"/>
          <w:lang w:val="en-US" w:eastAsia="zh-CN"/>
        </w:rPr>
      </w:pPr>
      <w:r>
        <w:rPr>
          <w:rFonts w:hint="eastAsia" w:ascii="Times New Roman" w:hAnsi="Times New Roman" w:cs="Times New Roman"/>
          <w:b/>
          <w:color w:val="auto"/>
          <w:sz w:val="28"/>
          <w:szCs w:val="28"/>
          <w:highlight w:val="none"/>
          <w:lang w:val="en-US" w:eastAsia="zh-CN"/>
        </w:rPr>
        <w:t>内江市市中区人民医院各</w:t>
      </w:r>
      <w:r>
        <w:rPr>
          <w:rFonts w:hint="eastAsia" w:ascii="Times New Roman" w:hAnsi="Times New Roman" w:cs="Times New Roman"/>
          <w:b/>
          <w:bCs/>
          <w:color w:val="auto"/>
          <w:kern w:val="0"/>
          <w:sz w:val="28"/>
          <w:szCs w:val="28"/>
          <w:highlight w:val="none"/>
          <w:shd w:val="clear" w:color="auto" w:fill="FFFFFF"/>
          <w:lang w:val="en-US" w:eastAsia="zh-CN"/>
        </w:rPr>
        <w:t>科室</w:t>
      </w:r>
      <w:r>
        <w:rPr>
          <w:rFonts w:hint="default" w:ascii="Times New Roman" w:hAnsi="Times New Roman" w:eastAsia="仿宋_GB2312" w:cs="Times New Roman"/>
          <w:b/>
          <w:bCs/>
          <w:color w:val="auto"/>
          <w:kern w:val="0"/>
          <w:sz w:val="28"/>
          <w:szCs w:val="28"/>
          <w:highlight w:val="none"/>
          <w:shd w:val="clear" w:color="auto" w:fill="FFFFFF"/>
          <w:lang w:val="en-US" w:eastAsia="zh-CN"/>
        </w:rPr>
        <w:t>职能职责一览表</w:t>
      </w:r>
    </w:p>
    <w:tbl>
      <w:tblPr>
        <w:tblStyle w:val="1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8"/>
        <w:gridCol w:w="1644"/>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965" w:type="pc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eastAsia" w:cs="Times New Roman"/>
                <w:b/>
                <w:bCs/>
                <w:i w:val="0"/>
                <w:iCs w:val="0"/>
                <w:color w:val="auto"/>
                <w:kern w:val="0"/>
                <w:sz w:val="24"/>
                <w:szCs w:val="24"/>
                <w:highlight w:val="none"/>
                <w:u w:val="none"/>
                <w:lang w:val="en-US" w:eastAsia="zh-CN" w:bidi="ar"/>
              </w:rPr>
              <w:t>科室</w:t>
            </w:r>
            <w:r>
              <w:rPr>
                <w:rFonts w:hint="default" w:ascii="Times New Roman" w:hAnsi="Times New Roman" w:eastAsia="仿宋_GB2312" w:cs="Times New Roman"/>
                <w:b/>
                <w:bCs/>
                <w:i w:val="0"/>
                <w:iCs w:val="0"/>
                <w:color w:val="auto"/>
                <w:kern w:val="0"/>
                <w:sz w:val="24"/>
                <w:szCs w:val="24"/>
                <w:highlight w:val="none"/>
                <w:u w:val="none"/>
                <w:lang w:val="en-US" w:eastAsia="zh-CN" w:bidi="ar"/>
              </w:rPr>
              <w:t>名称</w:t>
            </w:r>
          </w:p>
        </w:tc>
        <w:tc>
          <w:tcPr>
            <w:tcW w:w="3635" w:type="pc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职能职责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党群办</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下设工会、文明办。主要承担党务、纪检、工会、团委、精神文明、退委会（退休党支部）等职能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院办公室</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下设档案室、文印室。主要承担行政管理、公文处理、全院文秘、院务公开、档案管理等职能。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医务科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下设科教办、医患沟通办、营养室、公共事业发展办。主要承担全院医疗质量和医疗服务管理、医德医风、医改、宣传职能，承担科研、教学职能，承担营养膳食指导职能，承担医疗纠纷防范、协调处置等职能。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质控办</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sz w:val="24"/>
                <w:szCs w:val="24"/>
              </w:rPr>
              <w:t>主要承担病案质量及医疗质量控制职能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护理部</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主要承担全院护理质量与安全管理职能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人事科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主要承担人力资源管理、人员评聘、晋职晋升、妇联、民主党派联系、残疾事务管理、退休职工管理、红白喜事等职能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财务科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下设绩效办和价格办。主要承担医院财务管理、物价收费、经济运行分析，绩效核算等职能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审计科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主要承担内部财务审计等职能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总务科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主要承担全院后勤保障、物资采购及管理、医废管理、车辆管理职能；下设基建办，主要承担全院基础项目建设、设施维修职能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设备科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主要承担主要承担全院医疗设备、器械、卫生材料的购置、管理、维护等职能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保卫科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下设法制办及警医联动室，</w:t>
            </w:r>
            <w:r>
              <w:rPr>
                <w:rFonts w:hint="eastAsia" w:ascii="仿宋_GB2312" w:hAnsi="仿宋_GB2312" w:eastAsia="仿宋_GB2312" w:cs="仿宋_GB2312"/>
                <w:color w:val="auto"/>
                <w:sz w:val="24"/>
                <w:szCs w:val="24"/>
              </w:rPr>
              <w:t>主要承担全院安全生产、社会治安综合治理、法制工作、维稳、退役</w:t>
            </w:r>
            <w:r>
              <w:rPr>
                <w:rFonts w:hint="eastAsia" w:ascii="仿宋_GB2312" w:hAnsi="仿宋_GB2312" w:eastAsia="仿宋_GB2312" w:cs="仿宋_GB2312"/>
                <w:color w:val="000000"/>
                <w:sz w:val="24"/>
                <w:szCs w:val="24"/>
              </w:rPr>
              <w:t>军人管理、院内突发性群体事件的协调处置等职能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院感科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主要承担医院感染管理职能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公共卫生科（含预防保健科）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主要承担传染病及职业病防治、突发公共卫生事件和传染病疫情监测报告、院内和社区预防保健、妇幼工作、计划免疫、健康教育等职能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信息科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000000"/>
                <w:sz w:val="24"/>
                <w:szCs w:val="24"/>
              </w:rPr>
              <w:t>下设图书室，主要承担全院信息化建设，软、硬件管理及维护和图书管理职能</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病案统计科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主要承担病案管理、医院卫生统计分析、统计信息上报等职能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医保办</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主要承担医疗保险报销及相关管理，商业医疗保险业务，医保对内对外协调，医保数据统计上报，协助医保物价调整落实等职能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门诊办</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主要承担门诊科室的行政管理职能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急诊医学科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含院前急救；主要承担院前急救和急诊急救职能</w:t>
            </w:r>
            <w:r>
              <w:rPr>
                <w:rFonts w:hint="eastAsia" w:ascii="仿宋_GB2312" w:hAnsi="仿宋_GB2312" w:eastAsia="仿宋_GB2312" w:cs="仿宋_GB2312"/>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心血管内科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含老年病学专业；编制床位50张，开放床位55张。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神经内科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编制床位50张，开放床位55张。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sz w:val="24"/>
                <w:szCs w:val="24"/>
              </w:rPr>
              <w:t>呼吸与危重症医学科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sz w:val="24"/>
                <w:szCs w:val="24"/>
              </w:rPr>
              <w:t>含RICU</w:t>
            </w:r>
            <w:r>
              <w:rPr>
                <w:rFonts w:hint="eastAsia" w:ascii="仿宋_GB2312" w:hAnsi="仿宋_GB2312" w:eastAsia="仿宋_GB2312" w:cs="仿宋_GB2312"/>
                <w:bCs/>
                <w:color w:val="000000"/>
                <w:sz w:val="24"/>
                <w:szCs w:val="24"/>
              </w:rPr>
              <w:t>，编制床位50张，开放床位55张。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消化、内分泌、肾病、血液科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含消化、内分泌、肾病、血液4个专业，血透室；编制床位50张，开放床位60张，血透机13台。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儿科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含新生儿室；编制床位52张，开放床位55张。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重症医学科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编制床位5张，开放床位10张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泌尿、肛肠外科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含普外（肛肠）、泌尿外科2个专业；编制床位50张，开放床位55张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肝胆、甲乳、胸外科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含普外（肝胆、甲状腺、乳腺）、胸外2个专业；编制床位47张，开放床位40张。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骨科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编制床位47张，开放床位45张。负责骨密度仪及C臂的管理。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耳鼻咽喉、眼、神经外科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含耳鼻咽喉、眼科、神经外科3个专业；编制床位47张，开放床位45张。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妇产科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含妇科、产科、计划生育、优生学、生殖健康与不育症5个专业，编制床位52张，开放床位30张。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麻醉科（手术室）</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Cs/>
                <w:color w:val="000000"/>
                <w:sz w:val="24"/>
                <w:szCs w:val="24"/>
              </w:rPr>
              <w:t>含疼痛科；设有12个手术间，现实际开放7个手术间。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中医科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含中医内科专业、中医外科专业、针灸专业、推拿专业，开放床位5张。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康复医学科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开放床位15张。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皮肤科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含美容皮肤科。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口腔科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编制牙椅数4张，开放3张。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000000"/>
                <w:sz w:val="24"/>
                <w:szCs w:val="24"/>
              </w:rPr>
              <w:t>临床营养科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sz w:val="24"/>
                <w:szCs w:val="24"/>
              </w:rPr>
              <w:t>为住院患者提供临床营养诊疗服务，开展营养筛查与评估、营养诊断、营养治疗、营养宣教等工作。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药剂科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含临床药学室、住院药房、急诊药房、门诊药房、中药房、中西药库。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特检科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含超声诊断专业、心电图诊断专业、脑电及脑血流图诊断专业。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内镜中心</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含胃镜、肠镜、纤支</w:t>
            </w:r>
            <w:r>
              <w:rPr>
                <w:rFonts w:hint="eastAsia" w:ascii="仿宋_GB2312" w:hAnsi="仿宋_GB2312" w:eastAsia="仿宋_GB2312" w:cs="仿宋_GB2312"/>
                <w:sz w:val="24"/>
                <w:szCs w:val="24"/>
              </w:rPr>
              <w:t>镜检查及镜下治疗。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检验科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含临床体液、血液专业，临床微生物学专业，临床化学专业，临床免疫、血清学专业，临床细胞分子遗传学专业。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输血科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主要承担临床用血工作。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放射科</w:t>
            </w:r>
          </w:p>
        </w:tc>
        <w:tc>
          <w:tcPr>
            <w:tcW w:w="3635" w:type="pct"/>
            <w:shd w:val="clear" w:color="auto" w:fill="auto"/>
            <w:vAlign w:val="center"/>
          </w:tcPr>
          <w:p>
            <w:pPr>
              <w:adjustRightInd w:val="0"/>
              <w:snapToGrid w:val="0"/>
              <w:spacing w:line="576"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含X线诊断专业、CT诊断专业、磁共振成像诊断专业。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病理科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主要承担病理诊断工作。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消毒供应中心</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主要承担诊疗器械、器具和物品的清洗、消毒和灭菌等工作。由护理部直属管理，护理部和感染科负责业务指导。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8" w:type="pct"/>
            <w:shd w:val="clear" w:color="auto" w:fill="auto"/>
            <w:noWrap/>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965" w:type="pct"/>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体检科</w:t>
            </w:r>
          </w:p>
        </w:tc>
        <w:tc>
          <w:tcPr>
            <w:tcW w:w="3635" w:type="pct"/>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主要承担健康体检工作，含健康管理。</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内江市市中区人民医院是一所集医疗、教学、科研、预防保健、康复和急诊急救为一体的二级甲等综合性医院。现有编制床位500张，实际开放床位525张。医院承担着为全区人民群众身体健康提供医疗与护理保健服务。从事医疗与护理、医学教学、医学研究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截至2022年12月31日，我单位编制数为480人，2021年底我单位编制数480人，2022年编制数较2021年编制数持平。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2022年底我单位在职人员293人，其中：事业编制人员283人，事业工勤编制人员10人。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2022年底我单位聘用人员405人，其中：合同制人员387人，返聘人员10人，临聘人员8人。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sz w:val="28"/>
          <w:szCs w:val="28"/>
          <w:highlight w:val="none"/>
        </w:rPr>
        <w:t>20</w:t>
      </w:r>
      <w:r>
        <w:rPr>
          <w:rFonts w:hint="default" w:ascii="Times New Roman" w:hAnsi="Times New Roman" w:eastAsia="仿宋_GB2312" w:cs="Times New Roman"/>
          <w:b/>
          <w:bCs/>
          <w:color w:val="auto"/>
          <w:sz w:val="28"/>
          <w:szCs w:val="28"/>
          <w:highlight w:val="none"/>
          <w:lang w:val="en-US" w:eastAsia="zh-CN"/>
        </w:rPr>
        <w:t>2</w:t>
      </w:r>
      <w:r>
        <w:rPr>
          <w:rFonts w:hint="eastAsia"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rPr>
        <w:t>年度人员情况</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3"/>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人员情况</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年末实有数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left"/>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在</w:t>
            </w:r>
            <w:r>
              <w:rPr>
                <w:rFonts w:hint="eastAsia" w:cs="Times New Roman"/>
                <w:color w:val="auto"/>
                <w:sz w:val="24"/>
                <w:highlight w:val="none"/>
                <w:lang w:eastAsia="zh-CN"/>
              </w:rPr>
              <w:t>岗</w:t>
            </w:r>
            <w:r>
              <w:rPr>
                <w:rFonts w:hint="default" w:ascii="Times New Roman" w:hAnsi="Times New Roman" w:eastAsia="仿宋_GB2312" w:cs="Times New Roman"/>
                <w:color w:val="auto"/>
                <w:sz w:val="24"/>
                <w:highlight w:val="none"/>
              </w:rPr>
              <w:t>人员</w:t>
            </w:r>
            <w:r>
              <w:rPr>
                <w:rFonts w:hint="default" w:ascii="Times New Roman" w:hAnsi="Times New Roman" w:eastAsia="仿宋_GB2312" w:cs="Times New Roman"/>
                <w:color w:val="auto"/>
                <w:sz w:val="24"/>
                <w:highlight w:val="none"/>
                <w:lang w:eastAsia="zh-CN"/>
              </w:rPr>
              <w:t>：</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698</w:t>
            </w:r>
            <w:r>
              <w:rPr>
                <w:rFonts w:hint="default" w:ascii="Times New Roman" w:hAnsi="Times New Roman" w:eastAsia="仿宋_GB2312" w:cs="Times New Roman"/>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eastAsia" w:cs="Times New Roman"/>
                <w:color w:val="auto"/>
                <w:sz w:val="24"/>
                <w:highlight w:val="none"/>
                <w:lang w:eastAsia="zh-CN"/>
              </w:rPr>
              <w:t>事业编制</w:t>
            </w:r>
            <w:r>
              <w:rPr>
                <w:rFonts w:hint="default" w:ascii="Times New Roman" w:hAnsi="Times New Roman" w:eastAsia="仿宋_GB2312" w:cs="Times New Roman"/>
                <w:color w:val="auto"/>
                <w:sz w:val="24"/>
                <w:highlight w:val="none"/>
              </w:rPr>
              <w:t>人员</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283</w:t>
            </w:r>
            <w:r>
              <w:rPr>
                <w:rFonts w:hint="default" w:ascii="Times New Roman" w:hAnsi="Times New Roman" w:eastAsia="仿宋_GB2312" w:cs="Times New Roman"/>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left"/>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2</w:t>
            </w:r>
            <w:r>
              <w:rPr>
                <w:rFonts w:hint="default" w:ascii="Times New Roman" w:hAnsi="Times New Roman" w:eastAsia="仿宋_GB2312" w:cs="Times New Roman"/>
                <w:color w:val="auto"/>
                <w:sz w:val="24"/>
                <w:highlight w:val="none"/>
              </w:rPr>
              <w:t>.</w:t>
            </w:r>
            <w:r>
              <w:rPr>
                <w:rFonts w:hint="eastAsia" w:cs="Times New Roman"/>
                <w:color w:val="auto"/>
                <w:sz w:val="24"/>
                <w:highlight w:val="none"/>
                <w:lang w:eastAsia="zh-CN"/>
              </w:rPr>
              <w:t>事业工勤编制</w:t>
            </w:r>
            <w:r>
              <w:rPr>
                <w:rFonts w:hint="default" w:ascii="Times New Roman" w:hAnsi="Times New Roman" w:eastAsia="仿宋_GB2312" w:cs="Times New Roman"/>
                <w:color w:val="auto"/>
                <w:sz w:val="24"/>
                <w:highlight w:val="none"/>
              </w:rPr>
              <w:t>人员</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left"/>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仿宋_GB2312" w:cs="Times New Roman"/>
                <w:color w:val="auto"/>
                <w:sz w:val="24"/>
                <w:highlight w:val="none"/>
              </w:rPr>
              <w:t>.</w:t>
            </w:r>
            <w:r>
              <w:rPr>
                <w:rFonts w:hint="eastAsia" w:cs="Times New Roman"/>
                <w:color w:val="auto"/>
                <w:sz w:val="24"/>
                <w:highlight w:val="none"/>
                <w:lang w:eastAsia="zh-CN"/>
              </w:rPr>
              <w:t>合同制</w:t>
            </w:r>
            <w:r>
              <w:rPr>
                <w:rFonts w:hint="default" w:ascii="Times New Roman" w:hAnsi="Times New Roman" w:eastAsia="仿宋_GB2312" w:cs="Times New Roman"/>
                <w:color w:val="auto"/>
                <w:sz w:val="24"/>
                <w:highlight w:val="none"/>
              </w:rPr>
              <w:t>人员</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387人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left"/>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4</w:t>
            </w:r>
            <w:r>
              <w:rPr>
                <w:rFonts w:hint="default" w:ascii="Times New Roman" w:hAnsi="Times New Roman" w:eastAsia="仿宋_GB2312" w:cs="Times New Roman"/>
                <w:color w:val="auto"/>
                <w:sz w:val="24"/>
                <w:highlight w:val="none"/>
              </w:rPr>
              <w:t>.</w:t>
            </w:r>
            <w:r>
              <w:rPr>
                <w:rFonts w:hint="eastAsia" w:cs="Times New Roman"/>
                <w:color w:val="auto"/>
                <w:sz w:val="24"/>
                <w:highlight w:val="none"/>
                <w:lang w:eastAsia="zh-CN"/>
              </w:rPr>
              <w:t>返聘</w:t>
            </w:r>
            <w:r>
              <w:rPr>
                <w:rFonts w:hint="default" w:ascii="Times New Roman" w:hAnsi="Times New Roman" w:eastAsia="仿宋_GB2312" w:cs="Times New Roman"/>
                <w:color w:val="auto"/>
                <w:sz w:val="24"/>
                <w:highlight w:val="none"/>
              </w:rPr>
              <w:t>人员</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left"/>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5</w:t>
            </w:r>
            <w:r>
              <w:rPr>
                <w:rFonts w:hint="default" w:ascii="Times New Roman" w:hAnsi="Times New Roman" w:eastAsia="仿宋_GB2312" w:cs="Times New Roman"/>
                <w:color w:val="auto"/>
                <w:sz w:val="24"/>
                <w:highlight w:val="none"/>
              </w:rPr>
              <w:t>.</w:t>
            </w:r>
            <w:r>
              <w:rPr>
                <w:rFonts w:hint="eastAsia" w:cs="Times New Roman"/>
                <w:color w:val="auto"/>
                <w:sz w:val="24"/>
                <w:highlight w:val="none"/>
                <w:lang w:eastAsia="zh-CN"/>
              </w:rPr>
              <w:t>临聘人员</w:t>
            </w:r>
          </w:p>
        </w:tc>
        <w:tc>
          <w:tcPr>
            <w:tcW w:w="234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highlight w:val="none"/>
              </w:rPr>
            </w:pPr>
            <w:r>
              <w:rPr>
                <w:rFonts w:hint="eastAsia" w:cs="Times New Roman"/>
                <w:color w:val="auto"/>
                <w:sz w:val="24"/>
                <w:highlight w:val="none"/>
                <w:lang w:val="en-US" w:eastAsia="zh-CN"/>
              </w:rPr>
              <w:t>8</w:t>
            </w:r>
            <w:r>
              <w:rPr>
                <w:rFonts w:hint="default" w:ascii="Times New Roman" w:hAnsi="Times New Roman" w:eastAsia="仿宋_GB2312" w:cs="Times New Roman"/>
                <w:color w:val="auto"/>
                <w:sz w:val="24"/>
                <w:highlight w:val="none"/>
              </w:rPr>
              <w:t>人</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1.2022年努力创建平安医院，以病人为中心，巩固提升医院医疗服务能力，全年计划接诊门诊人次14万人次，住院1.9万人次，执行国家基本药物制度及药品、卫生材料零加成制度，提高全区病员满意度。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2.在当地政府和上级卫生行政部门领导下，依据当地社会经济发展规划，协助制定和实施医院卫生规划；配合有关部门动员组织群众开展爱国卫生活动，改善市中区卫生状况；负责辖区内乡村医生培训工作。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实施公共卫生服务具体工作。贯彻预防为主方针，开展全民健康教育。执行严重危害人群健康疾病防治的实施；组织对重大疾病的综合防治；组织、指导辖区传染病的防治工作；负责辖区内突发公共卫生事件的报告并协助处理等工作。做好卫生行政部门规定的其他公共卫生服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4.强化人才引培，夯实发展基础，提升医疗人才的医疗技能和素质，提升人力资源管理水平。</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rPr>
        <w:t>2022年努力创建平安医院，以病人为中心，巩固提升医院医疗服务能力，全年计划接诊门诊人次</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14</w:t>
      </w:r>
      <w:r>
        <w:rPr>
          <w:rFonts w:hint="eastAsia" w:ascii="仿宋_GB2312" w:hAnsi="仿宋_GB2312" w:eastAsia="仿宋_GB2312" w:cs="仿宋_GB2312"/>
          <w:b w:val="0"/>
          <w:bCs w:val="0"/>
          <w:color w:val="auto"/>
          <w:kern w:val="0"/>
          <w:sz w:val="32"/>
          <w:szCs w:val="32"/>
          <w:highlight w:val="none"/>
          <w:shd w:val="clear" w:color="auto" w:fill="FFFFFF"/>
          <w:lang w:val="zh-CN"/>
        </w:rPr>
        <w:t>万人次，住院</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1.9</w:t>
      </w:r>
      <w:r>
        <w:rPr>
          <w:rFonts w:hint="eastAsia" w:ascii="仿宋_GB2312" w:hAnsi="仿宋_GB2312" w:eastAsia="仿宋_GB2312" w:cs="仿宋_GB2312"/>
          <w:b w:val="0"/>
          <w:bCs w:val="0"/>
          <w:color w:val="auto"/>
          <w:kern w:val="0"/>
          <w:sz w:val="32"/>
          <w:szCs w:val="32"/>
          <w:highlight w:val="none"/>
          <w:shd w:val="clear" w:color="auto" w:fill="FFFFFF"/>
          <w:lang w:val="zh-CN"/>
        </w:rPr>
        <w:t>万人次，执行国家基本药物制度及药品、卫生材料零加成制度，提高全区病员满意度。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2.在当地政府和上级卫生行政部门领导下，依据当地社会经济发展规划，协助制定和实施医院卫生规划；配合有关部门动员组织群众开展爱国卫生活动，改善市中区卫生状况；负责辖区内乡村医生培训工作。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实施公共卫生服务具体工作。贯彻预防为主方针，开展全民健康教育。执行严重危害人群健康疾病防治的实施；组织对重大疾病的综合防治；组织、指导辖区传染病的防治工作；负责辖区内突发公共卫生事件的报告并协助处理等工作。做好卫生行政部门规定的其他公共卫生服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bookmarkStart w:id="81" w:name="_Toc905"/>
      <w:r>
        <w:rPr>
          <w:rFonts w:hint="eastAsia" w:ascii="仿宋_GB2312" w:hAnsi="仿宋_GB2312" w:eastAsia="仿宋_GB2312" w:cs="仿宋_GB2312"/>
          <w:b w:val="0"/>
          <w:bCs w:val="0"/>
          <w:color w:val="auto"/>
          <w:kern w:val="0"/>
          <w:sz w:val="32"/>
          <w:szCs w:val="32"/>
          <w:highlight w:val="none"/>
          <w:shd w:val="clear" w:color="auto" w:fill="FFFFFF"/>
          <w:lang w:val="en-US" w:eastAsia="zh-CN"/>
        </w:rPr>
        <w:t>4.强化人才引培，夯实发展基础，提升医疗人才的医疗技能和素质，提升人力资源管理水平。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81"/>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spacing w:line="600" w:lineRule="exact"/>
        <w:ind w:firstLine="640" w:firstLineChars="200"/>
        <w:outlineLvl w:val="1"/>
        <w:rPr>
          <w:rFonts w:hint="eastAsia" w:ascii="仿宋" w:hAnsi="仿宋" w:eastAsia="仿宋"/>
          <w:color w:val="auto"/>
          <w:sz w:val="32"/>
          <w:szCs w:val="32"/>
          <w:highlight w:val="none"/>
        </w:rPr>
      </w:pPr>
      <w:bookmarkStart w:id="82" w:name="_Toc11129"/>
      <w:r>
        <w:rPr>
          <w:rFonts w:hint="eastAsia" w:ascii="仿宋" w:hAnsi="仿宋" w:eastAsia="仿宋"/>
          <w:color w:val="auto"/>
          <w:sz w:val="32"/>
          <w:szCs w:val="32"/>
          <w:highlight w:val="none"/>
          <w:lang w:eastAsia="zh-CN"/>
        </w:rPr>
        <w:t>本年</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eastAsia="zh-CN"/>
        </w:rPr>
        <w:t>总额</w:t>
      </w:r>
      <w:r>
        <w:rPr>
          <w:rFonts w:hint="eastAsia" w:ascii="仿宋" w:hAnsi="仿宋" w:eastAsia="仿宋"/>
          <w:color w:val="auto"/>
          <w:sz w:val="32"/>
          <w:szCs w:val="32"/>
          <w:highlight w:val="none"/>
          <w:lang w:val="en-US" w:eastAsia="zh-CN"/>
        </w:rPr>
        <w:t>24588.16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，上年结转结余</w:t>
      </w:r>
      <w:r>
        <w:rPr>
          <w:rFonts w:hint="eastAsia" w:ascii="仿宋" w:hAnsi="仿宋" w:eastAsia="仿宋"/>
          <w:color w:val="auto"/>
          <w:sz w:val="32"/>
          <w:szCs w:val="32"/>
          <w:highlight w:val="none"/>
          <w:lang w:val="en-US" w:eastAsia="zh-CN"/>
        </w:rPr>
        <w:t>240.67万元</w:t>
      </w:r>
      <w:r>
        <w:rPr>
          <w:rFonts w:hint="eastAsia" w:ascii="仿宋" w:hAnsi="仿宋" w:eastAsia="仿宋"/>
          <w:color w:val="auto"/>
          <w:sz w:val="32"/>
          <w:szCs w:val="32"/>
          <w:highlight w:val="none"/>
        </w:rPr>
        <w:t>，其中：一般公共预算财政拨款收入</w:t>
      </w:r>
      <w:r>
        <w:rPr>
          <w:rFonts w:hint="eastAsia" w:ascii="仿宋" w:hAnsi="仿宋" w:eastAsia="仿宋"/>
          <w:color w:val="auto"/>
          <w:sz w:val="32"/>
          <w:szCs w:val="32"/>
          <w:highlight w:val="none"/>
          <w:lang w:val="en-US" w:eastAsia="zh-CN"/>
        </w:rPr>
        <w:t>801.99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5702.89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23.19</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17509.05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71.21</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574.23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82"/>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2021年收入总额20237.77万元，2022年收入总额较2021年增加4350.39万元，主要原因是2022年新增债券收入。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本年支出</w:t>
      </w:r>
      <w:r>
        <w:rPr>
          <w:rFonts w:hint="eastAsia" w:ascii="仿宋" w:hAnsi="仿宋" w:eastAsia="仿宋"/>
          <w:color w:val="auto"/>
          <w:sz w:val="32"/>
          <w:szCs w:val="32"/>
          <w:highlight w:val="none"/>
          <w:lang w:eastAsia="zh-CN"/>
        </w:rPr>
        <w:t>总额</w:t>
      </w:r>
      <w:r>
        <w:rPr>
          <w:rFonts w:hint="eastAsia" w:ascii="仿宋" w:hAnsi="仿宋" w:eastAsia="仿宋"/>
          <w:color w:val="auto"/>
          <w:sz w:val="32"/>
          <w:szCs w:val="32"/>
          <w:highlight w:val="none"/>
          <w:lang w:val="en-US" w:eastAsia="zh-CN"/>
        </w:rPr>
        <w:t>24828.83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18646.65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75.10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6182.18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24.90</w:t>
      </w:r>
      <w:r>
        <w:rPr>
          <w:rFonts w:ascii="仿宋" w:hAnsi="仿宋" w:eastAsia="仿宋"/>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2021年支出总额20146.14万元，2022年支出总额较2021年增加4682.69万元，主要原因是2022年新增债券支出。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本年收入总额24588.16万元，上年结转结余240.67万元，支出总额24828.83万元，年末结转结余0万元。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本年财政拨款收入6504.88万元，上年结转结余97.76万元，其中：一般公共预算财政拨款801.99万元，占12.33%；政府性基金预算财政拨款5702.89万元，占87.67%。</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2021年财政拨款收入1001.7万元，2022年财政拨款收入较2021年增加5503.18万元，主要原因是2022年新增债券收入。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本年财政拨款支出6602.64万元，其中：基本支出420.46万元，占6.37%；项目支出6182.18万元，占93.63%。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2021年财政拨款支出合计1053万元，2022年财政拨款支出较2021年财政拨款支出增加5549.64万元，主要原因是2022年新增债券支出。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本年财政拨款收入6504.88万元，上年结转结余97.76万元，财政拨款支出6602.64万元，年末结转结余0万元。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3" w:name="_Toc30964"/>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bookmarkEnd w:id="83"/>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）目标制定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按区财政要求认真编制预算绩效。绩效目标编制要素完整，绩效指标细化量化。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绩效目标均已达到预期指标值。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（3）支出控制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预算数与决算数一致，支出控制有效。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（4）及时处置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相关工作均已有序推进，年终完成相关绩效目标。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（5）执行进度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2022年6月实际支出进度为63.85%，2022年9月实际支出进度为85.89%，2022年11月实际支出进度为99.46%，均已达到部门预算执行进度要求。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（6）预算完成情况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2022年度预算完成进度为100%。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（7）资金结余率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2022年度资金结余率为0%。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）目标制定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按区财政要求认真编制预算绩效。绩效目标编制要素完整，绩效指标细化量化。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绩效目标均已达到预期指标值。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（3）支出控制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预算数与决算数一致，支出控制有效。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（4）及时处置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相关工作均已有序推进，年终完成相关绩效目标。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（5）执行进度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2022年6月实际支出进度为100%，2022年9月实际支出进度为98.20%，2022年11月实际支出进度为100%，均已达到部门预算执行进度要求。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（6）预算完成情况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2022年度预算完成进度为100%。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（7）资金结余率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2022年度资金结余率为0%。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）目标制定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按区财政要求认真编制预算绩效。绩效目标编制要素完整，绩效指标细化量化。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绩效目标基本完成，完成率为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99.4%</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（3）支出控制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预算数与决算数一致，支出控制有效。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（4）及时处置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相关工作均已有序推进，年终基本完成相关绩效目标。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（5）执行进度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2022年6月实际支出进度为90.77%，2022年9月实际支出进度为90.80%，2022年11月实际支出进度为94.72%，均已达到部门预算执行进度要求。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（6）预算完成情况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2022年度预算完成进度为100%。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（7）资金结余率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2022年度无违规记录。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2022年，是医院“十四五”规划实施的第二年，也是疫情防控攻坚克难的一年。医院在区委、区政府和区卫健局的坚强领导下，深入学习贯彻习近平新时代中国特色社会主义思想和党的二十大精神， 以“提质·提升”为目标， 围绕党建引领、“三乙”创建、疫情防控和医疗救治等工作要点，持续改进医疗质量和服务水平，保障医疗安全，全力守护人民群众生命安全和健康，较好完成全年工作任务。2022年度主要业务指标完成情况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年度门诊总人次178848人次，同比下降5.1%，住院人次19622人次，同比下降19.1%。年住院手术台次4025台次，住院病人治愈好转率98%，床位使用率94.8%，出院患者平均住院日9.1天。门诊均次费用207.59元，同比下降7%；住院均次费用7029.72元，同比增长14%，药品占比22.39%，医用耗材占比8.38%。归档病历甲级率96.2%，运行病历甲级率98%。健康体检14258人次,高考体检6488人，征兵体检705人，残疾鉴定435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医院已将绩效评价及相关检查中发现的问题及时整改及应用，并按照财政部门要求反馈结果信息及应用情况。医院将坚持政府管理的内在要求，接受社会公众的监督，加强与公众的交流，保障医院可持续发展及病员利益，进一步提升我院的医疗服务能力。</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2022年整体绩效目标编制要素完整，部门绩效目标制定准确，全部部门预算目标已实现，预算编制准确，预算支出控制良好，预算支出执行到位。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4" w:name="_Toc28817"/>
      <w:r>
        <w:rPr>
          <w:rFonts w:hint="eastAsia" w:ascii="黑体" w:hAnsi="宋体" w:eastAsia="黑体" w:cs="宋体"/>
          <w:color w:val="auto"/>
          <w:kern w:val="0"/>
          <w:sz w:val="32"/>
          <w:szCs w:val="32"/>
          <w:highlight w:val="none"/>
          <w:shd w:val="clear" w:color="auto" w:fill="FFFFFF"/>
        </w:rPr>
        <w:t>四、评价结论及建议</w:t>
      </w:r>
      <w:bookmarkEnd w:id="84"/>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根据财政局下发的《关于开展2023年财政支出绩效评价工作的通知》（内市区财绩〔2023〕619号）相关要求，我单位对2022年度的部门整体支出开展了绩效自评工作。本次部门整体绩效评价实际评价得分为87.57分。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zh-CN"/>
        </w:rPr>
        <w:t>公立医院作为公益类非盈利性医疗事业单位，为满足广大人民群众日益增长的医疗需求，医疗环境及医疗设备亟需改善，专业医疗人才缺口仍较大。</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继续加强基层公立医院建设，改善就医环境，更新医疗设备，提高医疗技术，更好的为人民群众提供优质医疗服务。</w:t>
      </w:r>
    </w:p>
    <w:p>
      <w:pPr>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br w:type="page"/>
      </w: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bookmarkStart w:id="143" w:name="_GoBack"/>
      <w:bookmarkEnd w:id="143"/>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5"/>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51"/>
        <w:gridCol w:w="930"/>
        <w:gridCol w:w="1167"/>
        <w:gridCol w:w="396"/>
        <w:gridCol w:w="886"/>
        <w:gridCol w:w="396"/>
        <w:gridCol w:w="846"/>
        <w:gridCol w:w="486"/>
        <w:gridCol w:w="396"/>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51100222T000006112241-2022年医疗服务与保障能力提升（公立医院综合改革）补助资金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c>
          <w:tcPr>
            <w:tcW w:w="6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基本建立具有中国特色的权责清晰、管理科学、治理完善、运行高效、监督有力的现代医院管理制度，建立维护公益性、调动积极性、保障可持续的运行新机制和科学的补偿机制。</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基本建立具有中国特色的权责清晰、管理科学、治理完善、运行高效、监督有力的现代医院管理制度，建立维护公益性、调动积极性、保障可持续的运行新机制和科学的补偿机制。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健全现代医院管理制度，根据医院发展规划，积极推进学科建设，加强院前急救、脑卒中、胸痛中心和专科重症监护室建设；加强人才队伍建设，采取多渠道、多形式选聘专业技术人才，选派医护人员到权威医院进修学习，住院医师规范化培训，提升医院中高级职称比例；推进药品耗材集中采购，增强药品供应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公立医院资产负债率</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55.32</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公立医院平均住院日</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2022年12月31日前</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2022年12月30日</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居民健康水平</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逐年提高</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管理费用占公立医院业务支出的比例</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14.31</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公立医院住院患者满意度</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公立医院百元医疗收入的医疗支出（不含药品收入）</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119.16</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2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经单位自我评估，我单位公立医院综合改革项目自评得分为96分。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预算绩效管理工作能力有待提升，项目支出绩效目标编制有待进一步加强。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加强财务与业务人员的预算管理相关知识学习，建立健全的内部预算管理控制机制。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3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0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eastAsia" w:hAnsi="宋体" w:cs="宋体"/>
          <w:color w:val="auto"/>
          <w:kern w:val="0"/>
          <w:sz w:val="32"/>
          <w:szCs w:val="32"/>
          <w:highlight w:val="none"/>
          <w:shd w:val="clear" w:color="auto" w:fill="FFFFFF"/>
          <w:lang w:val="zh-CN"/>
        </w:rPr>
      </w:pPr>
    </w:p>
    <w:tbl>
      <w:tblPr>
        <w:tblStyle w:val="15"/>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5"/>
        <w:gridCol w:w="909"/>
        <w:gridCol w:w="1139"/>
        <w:gridCol w:w="396"/>
        <w:gridCol w:w="895"/>
        <w:gridCol w:w="396"/>
        <w:gridCol w:w="846"/>
        <w:gridCol w:w="486"/>
        <w:gridCol w:w="48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85" w:name="_Toc6592"/>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51100222T000006112355-2022年重大传染病防控补助资金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开展重大慢性病早起筛查干预项目，落实慢性病及其相关危险因素监测。加强严重精神病障碍患者筛查、登记报告和随访服务。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完成以新冠肺炎为主的病毒性传染病监测、基于国家致病菌识别网的细菌性传染病监测，有序高效地落实新冠肺炎应急处理工作，最大程度地减少对公众健康和社会造成的危害，维护社会稳定和经济发展。</w:t>
            </w:r>
          </w:p>
        </w:tc>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开展重大慢性病早起筛查干预项目，落实慢性病及其相关危险因素监测。加强严重精神病障碍患者筛查、登记报告和随访服务。</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完成以新冠肺炎为主的病毒性传染病监测、基于国家致病菌识别网的细菌性传染病监测，有序高效地落实新冠肺炎应急处理工作，最大程度地减少对公众健康和社会造成的危害，维护社会稳定和经济发展。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开展重大慢性病早起筛查干预项目，落实慢性病及其相关危险因素监测。加强严重精神病障碍患者筛查、登记报告和随访服务。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完成以新冠肺炎为主的病毒性传染病监测、基于国家致病菌识别网的细菌性传染病监测，有序高效地落实新冠肺炎应急处理工作。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规范治疗和随访检查的肺结核患者任务完成率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在册严重精神障碍患者管理率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2022年12月30日</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居民健康水平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2022年重大传染病防控补助资金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经单位自我评估，我单位重大传染病防控项目自评得分为100分。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预算绩效管理工作能力有待提升，项目支出绩效目标编制有待进一步加强。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加强财务与业务人员的预算管理相关知识学习，建立健全的内部预算管理控制机制。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c>
          <w:tcPr>
            <w:tcW w:w="4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bl>
    <w:p>
      <w:pPr>
        <w:rPr>
          <w:rFonts w:hint="eastAsia" w:hAnsi="宋体" w:cs="宋体"/>
          <w:color w:val="auto"/>
          <w:kern w:val="0"/>
          <w:sz w:val="32"/>
          <w:szCs w:val="32"/>
          <w:highlight w:val="none"/>
          <w:shd w:val="clear" w:color="auto" w:fill="FFFFFF"/>
          <w:lang w:val="zh-CN"/>
        </w:rPr>
      </w:pPr>
    </w:p>
    <w:tbl>
      <w:tblPr>
        <w:tblStyle w:val="15"/>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0"/>
        <w:gridCol w:w="913"/>
        <w:gridCol w:w="1145"/>
        <w:gridCol w:w="396"/>
        <w:gridCol w:w="872"/>
        <w:gridCol w:w="396"/>
        <w:gridCol w:w="846"/>
        <w:gridCol w:w="486"/>
        <w:gridCol w:w="486"/>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51100222T000006523775-内江市市中区人民医院特种车辆采购项目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c>
          <w:tcPr>
            <w:tcW w:w="6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医院一台负压救护车已经不能满足工作需要，因新冠疫情再次扩散，我院急需采购一台负压救护车，应对新冠疫情，提高疫情防范能力，减少病毒传播概率，缓解中区相关设备不足，减少中区居民感染风险。</w:t>
            </w:r>
          </w:p>
        </w:tc>
        <w:tc>
          <w:tcPr>
            <w:tcW w:w="2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完成负压救护车采购任务，已投入疫情防控使用，有效提高疫情防控能力，减少病毒传播概率。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医院用于采购疫情防控用负压救护车一台。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采购负压救护车数量</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2022年12月31日前</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2022年5月23日</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居民健康水平</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疫情防控能力</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采购负压救护车成本</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经单位自我评估，我单位重大传染病防控项目自评得分为100分。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预算绩效管理工作能力有待提升，项目支出绩效目标编制有待进一步加强。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加强财务与业务人员的预算管理相关知识学习，建立健全的内部预算管理控制机制。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0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jc w:val="left"/>
        <w:rPr>
          <w:rFonts w:hint="eastAsia" w:hAnsi="宋体" w:cs="宋体"/>
          <w:color w:val="auto"/>
          <w:kern w:val="0"/>
          <w:sz w:val="32"/>
          <w:szCs w:val="32"/>
          <w:highlight w:val="none"/>
          <w:shd w:val="clear" w:color="auto" w:fill="FFFFFF"/>
          <w:lang w:val="zh-CN"/>
        </w:rPr>
      </w:pPr>
    </w:p>
    <w:tbl>
      <w:tblPr>
        <w:tblStyle w:val="15"/>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6"/>
        <w:gridCol w:w="910"/>
        <w:gridCol w:w="1141"/>
        <w:gridCol w:w="396"/>
        <w:gridCol w:w="869"/>
        <w:gridCol w:w="396"/>
        <w:gridCol w:w="846"/>
        <w:gridCol w:w="486"/>
        <w:gridCol w:w="486"/>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51100222T000007402418-区属医疗卫生单位疫情防控全员核酸检测经费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c>
          <w:tcPr>
            <w:tcW w:w="64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完成疫情防控全员核酸检测任务，提高居民健康水平。</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已完成疫情防控全员核酸检测任务，有效提高了居民健康水平。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项目实施主要用于疫情防控核酸检测试剂采购。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预算资金支出率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2022年12月31日前</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2022年10月31日</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居民健康水平</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核酸检测对象满意度</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全员核酸检测经费</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2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经单位自我评估，我单位重大传染病防控项目自评得分为100分。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预算绩效管理工作能力有待提升，项目支出绩效目标编制有待进一步加强。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加强财务与业务人员的预算管理相关知识学习，建立健全的内部预算管理控制机制。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0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jc w:val="left"/>
        <w:rPr>
          <w:rFonts w:hint="eastAsia" w:hAnsi="宋体" w:cs="宋体"/>
          <w:color w:val="auto"/>
          <w:kern w:val="0"/>
          <w:sz w:val="32"/>
          <w:szCs w:val="32"/>
          <w:highlight w:val="none"/>
          <w:shd w:val="clear" w:color="auto" w:fill="FFFFFF"/>
          <w:lang w:val="zh-CN"/>
        </w:rPr>
      </w:pPr>
    </w:p>
    <w:tbl>
      <w:tblPr>
        <w:tblStyle w:val="15"/>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71"/>
        <w:gridCol w:w="868"/>
        <w:gridCol w:w="1082"/>
        <w:gridCol w:w="396"/>
        <w:gridCol w:w="799"/>
        <w:gridCol w:w="756"/>
        <w:gridCol w:w="846"/>
        <w:gridCol w:w="486"/>
        <w:gridCol w:w="486"/>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51100222T000005916741-新冠核酸检测设备采购资金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c>
          <w:tcPr>
            <w:tcW w:w="64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内江市市中区人民医院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根据内江市应对新型冠状病毒感染肺炎疫情应急指挥部办公室指示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1、解决核酸检测效率问题，发热病人等待时间问题，提升核酸检测能力，确保大规模核酸检测工作时，能高效完成检测任务。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2、加强人员培训，对采样、转运、检测人员培训并考核，根据岗位职责开展培训，确保检测工作安全而高效。</w:t>
            </w:r>
          </w:p>
        </w:tc>
        <w:tc>
          <w:tcPr>
            <w:tcW w:w="2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通过本项目实施采购PCR检测仪，有效提高核酸检测效率，减少发热病人等待问题，提高了核酸检测能力。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项目实施主要用于采购PCR检测仪。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购置设备数量</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设备质量合格率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安装工程验收合格率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核酸检测结果及时率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4小时</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设备利用率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设备使用年限</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使用人员满意度</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核酸检测设备购置成本</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经单位自我评估，我单位重大传染病防控项目自评得分为100分。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预算绩效管理工作能力有待提升，项目支出绩效目标编制有待进一步加强。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加强财务与业务人员的预算管理相关知识学习，建立健全的内部预算管理控制机制。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jc w:val="left"/>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pPr>
        <w:pStyle w:val="5"/>
        <w:outlineLvl w:val="1"/>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85"/>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2022年医疗服务与保障能力提升（公立医院综合改革）</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补助资金项目绩效自评报告</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86" w:name="_Toc7571"/>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8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医院依照市中区委区政府和区卫健局规定和要求，承担临床医疗、医学教育、医学科研、预防保健、康复和急诊急救等任务，是县级区域医疗中心。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根据《内江市市中区财政局 内江市市中区卫生健康局关于提前下达2022年医疗服务与保障能力提升（公立医院综合改革）中央和省级补助资金的通知》（内市区〔2022〕192号）文件。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3．资金或项目管理办法制定情况，资金支持具体项目的条件、范围与支持方式概况。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医院制定有专项资金管理制度，将严格遵循资金使用程序，遵循审批标准，确保专款专用、合理合法合规使用资金。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4．资金分配的原则及考虑因素。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项目资金严格按照资金适用范围合理使用，从实际出发，保证重点、兼顾一般，充分考虑单位基本运行、发展和建设的需要。</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建立健全现代医院管理制度，根据医院发展规划，积极推进学科建设，加强院前急救、脑卒中、胸痛中心和专科重症监护室建设；加强人才队伍建设，采取多渠道、多形式选聘专业技术人才，选派医护人员到权威医院进修学习，住院医师规范化培训，提升医院中高级职称比例；推进药品耗材集中采购，增强药品供应保障能力。</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项目总体目标：基本建立具有中国特色的权责清晰、管理科学、治理完善、运行高效、监督有力的现代医院管理制度，建立维护公益性、调动积极性、保障可持续的运行新机制和科学的补偿机制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项目绩效目标的量化、细化明细如下：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数量指标：公立医院资产负债率≤</w:t>
      </w:r>
      <w:r>
        <w:rPr>
          <w:rFonts w:hint="eastAsia" w:ascii="仿宋_GB2312" w:hAnsi="仿宋_GB2312" w:eastAsia="仿宋_GB2312" w:cs="仿宋_GB2312"/>
          <w:color w:val="auto"/>
          <w:kern w:val="0"/>
          <w:sz w:val="32"/>
          <w:szCs w:val="32"/>
          <w:highlight w:val="none"/>
          <w:u w:val="none"/>
          <w:shd w:val="clear" w:color="auto" w:fill="FFFFFF"/>
          <w:lang w:val="en-US" w:eastAsia="zh-CN"/>
        </w:rPr>
        <w:t>70%。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质量指标：公立医院平均住院日</w:t>
      </w:r>
      <w:r>
        <w:rPr>
          <w:rFonts w:hint="eastAsia" w:ascii="仿宋_GB2312" w:hAnsi="宋体" w:eastAsia="仿宋_GB2312" w:cs="Times New Roman"/>
          <w:color w:val="auto"/>
          <w:sz w:val="32"/>
          <w:szCs w:val="32"/>
          <w:highlight w:val="none"/>
          <w:lang w:val="en-US" w:eastAsia="zh-CN"/>
        </w:rPr>
        <w:t>≤10天。</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时效指标：项目完成时间为</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2022年12月31日前。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成本指标：公立医院百元医疗收入的医疗支出（不含药品收入）≤100%。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社会效益指标：居民健康水平提高。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可持续影响指标：管理费用占公立医院业务支出的比例</w:t>
      </w:r>
      <w:r>
        <w:rPr>
          <w:rFonts w:hint="eastAsia" w:ascii="仿宋_GB2312" w:hAnsi="宋体" w:eastAsia="仿宋_GB2312" w:cs="Times New Roman"/>
          <w:color w:val="auto"/>
          <w:sz w:val="32"/>
          <w:szCs w:val="32"/>
          <w:highlight w:val="none"/>
          <w:lang w:val="en-US" w:eastAsia="zh-CN"/>
        </w:rPr>
        <w:t>≤15%。</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服务对象满意度指标：公立医院住院患者满意度≥90%。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s="Times New Roman"/>
          <w:color w:val="auto"/>
          <w:sz w:val="32"/>
          <w:szCs w:val="32"/>
          <w:highlight w:val="none"/>
          <w:lang w:val="zh-CN" w:eastAsia="zh-CN"/>
        </w:rPr>
        <w:t>评价申报内容及绩效目标按区财政及区卫健局下发文件执行设定，与实际相符、合理可行。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内江市市中区财政局关于开展2023年财政支出绩效评价工作的通知》（内市区财绩〔2023〕619号）文件要求，我院根据项目实施公立医院平均住院日、居民健康水平、公立医院住院患者满意度等指标，立即组织相关人员开展绩效自评工作。我单位评价方法采取分级评分法、缺（错）项扣分法、比率分值法等方法计算与评价相关绩效目标，绩效目标基本完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87" w:name="_Toc17831"/>
      <w:r>
        <w:rPr>
          <w:rFonts w:hint="eastAsia" w:ascii="黑体" w:hAnsi="宋体" w:eastAsia="黑体"/>
          <w:color w:val="auto"/>
          <w:sz w:val="32"/>
          <w:szCs w:val="32"/>
          <w:highlight w:val="none"/>
          <w:u w:val="none"/>
        </w:rPr>
        <w:t>二、项目资金申报及使用情况</w:t>
      </w:r>
      <w:bookmarkEnd w:id="87"/>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根据《内江市市中区财政局 内江市市中区卫生健康局关于提前下达2022年医疗服务与保障能力提升（公立医院综合改革）中央和省级补助资金的通知》（内市区财社〔2022〕192号）文件分别申报及批复项目资金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21.39万元和15.61万元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该项目资金包括中央财政资金21.39万元、省级财政资金15.61万元，无单位自筹、其他渠道资金。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截止评价时点该项目资金已全部到位，包括中央财政资金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21.39万元、省级财政资金15.61万元。资金到位率100%，资金到位及时，未出现资金不到位或到位不及时的情况。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截止评价时点该项目资金已全部实现支付，资金支付范围、支付标准、支付进度、支付依据等合规合法，与预算相符。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88" w:name="_Toc23984"/>
      <w:r>
        <w:rPr>
          <w:rFonts w:hint="eastAsia" w:ascii="黑体" w:hAnsi="宋体" w:eastAsia="黑体"/>
          <w:color w:val="auto"/>
          <w:sz w:val="32"/>
          <w:szCs w:val="32"/>
          <w:highlight w:val="none"/>
          <w:u w:val="none"/>
        </w:rPr>
        <w:t>三、项目实施及管理情况</w:t>
      </w:r>
      <w:bookmarkEnd w:id="8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项目下达前建立制度、方案等，在项目下达后按照方案、制度执行，项目中进行项目绩效运行监控，项目结束后对项目进行绩效评价和总结。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本项目资金使用严格按照资金适用范围、严格执行审批制度，遵循审批标准。经费使用坚持“三重一大”集体审批原则。</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项目资金使用严格履行审批制度，资金拨付有原则，严格遵循资金使用程序。由经办人、科室负责人、分管领导签字确认属实，财务科审核签字，主要领导审批后方可拨付。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89" w:name="_Toc9203"/>
      <w:r>
        <w:rPr>
          <w:rFonts w:hint="eastAsia" w:ascii="黑体" w:hAnsi="宋体" w:eastAsia="黑体"/>
          <w:color w:val="auto"/>
          <w:sz w:val="32"/>
          <w:szCs w:val="32"/>
          <w:highlight w:val="none"/>
          <w:u w:val="none"/>
        </w:rPr>
        <w:t>四、项目绩效情况</w:t>
      </w:r>
      <w:bookmarkEnd w:id="89"/>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本项目绩效指标基本完成，具体指标完成情况如下：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数量指标：“公立医院资产负债率”，通过本项目实施2022年公立医院资产负债率为55.32%。</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质量指标：“公立医院平均住院日”，通过本项目实施2022年公立医院平均住院日为8.5天。</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时效指标：“项目完成时间”，本项目完成时间为2022年12月30日。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成本指标：“公立医院百元医疗收入的医疗支出（不含药品收入）”，通过本项目实施2022年公立医院百元医疗收入的医疗支出（不含药品收入）为119.16%。</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本项目绩效指标均已完成，具体指标完成情况如下：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社会效益指标：“居民健康水平”，通过本项目实施居民健康水平得到了提高。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可持续影响指标：“管理费用占公立医院业务支出的比例”，通过本项目实施2022年管理费用占公立医院业务支出的比例为14.31%。</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服务对象满意度指标：“公立医院住院患者满意度”，通过本项目实施2022年公立医院住院患者满意度为90%。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90" w:name="_Toc10368"/>
      <w:r>
        <w:rPr>
          <w:rFonts w:hint="eastAsia" w:ascii="黑体" w:hAnsi="宋体" w:eastAsia="黑体"/>
          <w:color w:val="auto"/>
          <w:sz w:val="32"/>
          <w:szCs w:val="32"/>
          <w:highlight w:val="none"/>
          <w:u w:val="none"/>
        </w:rPr>
        <w:t>五、评价结论及建议</w:t>
      </w:r>
      <w:bookmarkEnd w:id="9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经单位自我评估，我单位公立医院综合改革项目自评得分为</w:t>
      </w:r>
      <w:r>
        <w:rPr>
          <w:rFonts w:hint="eastAsia" w:ascii="仿宋_GB2312" w:hAnsi="宋体" w:eastAsia="仿宋_GB2312" w:cs="Times New Roman"/>
          <w:color w:val="auto"/>
          <w:sz w:val="32"/>
          <w:szCs w:val="32"/>
          <w:highlight w:val="none"/>
          <w:lang w:val="en-US" w:eastAsia="zh-CN"/>
        </w:rPr>
        <w:t>96</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预算绩效管理工作能力有待提升，项目支出绩效目标编制有待进一步加强。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加强财务与业务人员的预算管理相关知识学习，建立健全的内部预算管理控制机制。</w:t>
      </w:r>
      <w:r>
        <w:rPr>
          <w:rFonts w:hint="eastAsia" w:ascii="仿宋_GB2312" w:hAnsi="仿宋_GB2312" w:eastAsia="仿宋_GB2312" w:cs="仿宋_GB2312"/>
          <w:color w:val="auto"/>
          <w:kern w:val="0"/>
          <w:sz w:val="32"/>
          <w:szCs w:val="32"/>
          <w:highlight w:val="none"/>
          <w:u w:val="none"/>
          <w:shd w:val="clear" w:color="auto" w:fill="FFFFFF"/>
          <w:lang w:val="zh-CN"/>
        </w:rPr>
        <w:br w:type="page"/>
      </w:r>
    </w:p>
    <w:p>
      <w:pPr>
        <w:pStyle w:val="5"/>
        <w:outlineLvl w:val="1"/>
        <w:rPr>
          <w:rFonts w:hint="eastAsia" w:eastAsia="仿宋_GB2312"/>
          <w:color w:val="auto"/>
          <w:sz w:val="32"/>
          <w:szCs w:val="32"/>
          <w:highlight w:val="none"/>
          <w:lang w:val="en-US" w:eastAsia="zh-CN"/>
        </w:rPr>
      </w:pPr>
      <w:bookmarkStart w:id="91" w:name="_Toc19846"/>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91"/>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2022年重大传染病防控补助资金</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项目绩效自评报告</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92" w:name="_Toc23646"/>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9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医院依照市中区委区政府和区卫健局规定和要求，承担临床医疗、医学教育、医学科研、预防保健、康复和急诊急救等任务，是县级区域医疗中心。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根据《内江市市中区财政局 内江市市中区卫生健康局关于提前下达2022年重大传染病防控中央补助资金的通知》（内市区财社〔2023〕205号）文件。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3．资金或项目管理办法制定情况，资金支持具体项目的条件、范围与支持方式概况。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医院制定有专项资金管理制度，将严格遵循资金使用程序，遵循审批标准，确保专款专用、合理合法合规使用资金。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4．资金分配的原则及考虑因素。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项目资金严格按照资金适用范围合理使用，从实际出发，保证重点、兼顾一般，充分考虑单位基本运行、发展和建设的需要。</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开展重大慢性病早起筛查干预项目，落实慢性病及其相关危险因素监测。加强严重精神病障碍患者筛查、登记报告和随访服务。完成以新冠肺炎为主的病毒性传染病监测、基于国家致病菌识别网的细菌性传染病监测，有序高效地落实新冠肺炎应急处理工作，最大程度地减少对公众健康和社会造成的危害，维护社会稳定和经济发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总体目标：开展重大慢性病早起筛查干预项目，落实慢性病及其相关危险因素监测。加强严重精神病障碍患者筛查、登记报告和随访服务。完成以新冠肺炎为主的病毒性传染病监测、基于国家致病菌识别网的细菌性传染病监测，有序高效地落实新冠肺炎应急处理工作，最大程度地减少对公众健康和社会造成的危害，维护社会稳定和经济发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项目绩效目标的量化、细化明细如下：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数量指标：规范治疗和随访检查的肺结核患者任务完成率≥85%</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w:t>
      </w:r>
      <w:r>
        <w:rPr>
          <w:rFonts w:hint="eastAsia" w:ascii="仿宋_GB2312" w:hAnsi="宋体" w:eastAsia="仿宋_GB2312" w:cs="Times New Roman"/>
          <w:color w:val="auto"/>
          <w:sz w:val="32"/>
          <w:szCs w:val="32"/>
          <w:highlight w:val="none"/>
          <w:lang w:val="en-US" w:eastAsia="zh-CN"/>
        </w:rPr>
        <w:t>在册严重精神障碍患者管理率≥80%。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时效指标：项目完成时间为</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2022年12月31日前。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成本指标：2022年重大传染病防控补助资金＝38.68万元。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社会效益指标：居民健康水平</w:t>
      </w:r>
      <w:r>
        <w:rPr>
          <w:rFonts w:hint="eastAsia" w:ascii="仿宋_GB2312" w:hAnsi="宋体" w:eastAsia="仿宋_GB2312" w:cs="Times New Roman"/>
          <w:color w:val="auto"/>
          <w:sz w:val="32"/>
          <w:szCs w:val="32"/>
          <w:highlight w:val="none"/>
          <w:lang w:val="en-US" w:eastAsia="zh-CN"/>
        </w:rPr>
        <w:t>提高</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服务对象满意度指标：服务对象满意度≥90%。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s="Times New Roman"/>
          <w:color w:val="auto"/>
          <w:sz w:val="32"/>
          <w:szCs w:val="32"/>
          <w:highlight w:val="none"/>
          <w:lang w:val="zh-CN" w:eastAsia="zh-CN"/>
        </w:rPr>
        <w:t>评价申报内容及绩效目标按区财政及区卫健局下发文件执行设定，与实际相符、合理可行。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内江市市中区财政局关于开展2023年财政支出绩效评价工作的通知》（内市区财绩〔2023〕619号）文件要求，我院根据项目实施规范治疗和随访检查的肺结核患者任务完成率、在册严重精神障碍患者管理率、服务对象满意度等指标，立即组织相关人员开展绩效自评工作。我单位评价方法采取分级评分法、缺（错）项扣分法、比率分值法等方法计算与评价相关绩效目标，绩效目标全部完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93" w:name="_Toc13385"/>
      <w:r>
        <w:rPr>
          <w:rFonts w:hint="eastAsia" w:ascii="黑体" w:hAnsi="宋体" w:eastAsia="黑体"/>
          <w:color w:val="auto"/>
          <w:sz w:val="32"/>
          <w:szCs w:val="32"/>
          <w:highlight w:val="none"/>
          <w:u w:val="none"/>
        </w:rPr>
        <w:t>二、项目资金申报及使用情况</w:t>
      </w:r>
      <w:bookmarkEnd w:id="93"/>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根据《内江市市中区财政局 内江市市中区卫生健康局关于提前下达2022年重大传染病防控中央补助资金的通知》（内市区财社〔2023〕205号）文件分别申报及批复项目资金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10.26万元、0.38万元、24.04万元和4万元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该项目资金包括中央财政资金38.68万元，无单位自筹、其他渠道资金。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截止评价时点该项目资金已全部到位，包括中央财政资金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38.68万元。资金到位率100%，资金到位及时，未出现资金不到位或到位不及时的情况。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截止评价时点该项目资金已全部实现支付，资金支付范围、支付标准、支付进度、支付依据等合规合法，与预算相符。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94" w:name="_Toc25761"/>
      <w:r>
        <w:rPr>
          <w:rFonts w:hint="eastAsia" w:ascii="黑体" w:hAnsi="宋体" w:eastAsia="黑体"/>
          <w:color w:val="auto"/>
          <w:sz w:val="32"/>
          <w:szCs w:val="32"/>
          <w:highlight w:val="none"/>
          <w:u w:val="none"/>
        </w:rPr>
        <w:t>三、项目实施及管理情况</w:t>
      </w:r>
      <w:bookmarkEnd w:id="9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项目下达前建立制度、方案等，在项目下达后按照方案、制度执行，项目中进行项目绩效运行监控，项目结束后对项目进行绩效评价和总结。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本项目资金使用严格按照资金适用范围、严格执行审批制度，遵循审批标准。经费使用坚持“三重一大”集体审批原则。</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项目资金使用严格履行审批制度，资金拨付有原则，严格遵循资金使用程序。由经办人、科室负责人、分管领导签字确认属实，财务科审核签字，主要领导审批后方可拨付。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95" w:name="_Toc6914"/>
      <w:r>
        <w:rPr>
          <w:rFonts w:hint="eastAsia" w:ascii="黑体" w:hAnsi="宋体" w:eastAsia="黑体"/>
          <w:color w:val="auto"/>
          <w:sz w:val="32"/>
          <w:szCs w:val="32"/>
          <w:highlight w:val="none"/>
          <w:u w:val="none"/>
        </w:rPr>
        <w:t>四、项目绩效情况</w:t>
      </w:r>
      <w:bookmarkEnd w:id="95"/>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本项目绩效指标基本完成，具体指标完成情况如下：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数量指标：“规范治疗和随访检查的肺结核患者任务完成率”，通过本项目实施2022年规范治疗和随访检查的肺结核患者任务完成率为90.90%。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质量指标：“在册严重精神障碍患者管理率”，通过本项目实施2022年在册严重精神障碍患者管理率为98.26%。</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时效指标：“项目完成时间”，本项目完成时间为2022年12月30日。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成本指标：“2022年重大传染病防控补助资金”，通过本项目实施2022年重大传染病防控补助资金为38.68万元。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本项目绩效指标均已完成，具体指标完成情况如下：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社会效益指标：“居民健康水平”，通过本项目实施居民健康水平得到了提高。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服务对象满意度指标：“服务对象满意度”，通过本项目实施服务对象满意度为96.20%。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96" w:name="_Toc4759"/>
      <w:r>
        <w:rPr>
          <w:rFonts w:hint="eastAsia" w:ascii="黑体" w:hAnsi="宋体" w:eastAsia="黑体"/>
          <w:color w:val="auto"/>
          <w:sz w:val="32"/>
          <w:szCs w:val="32"/>
          <w:highlight w:val="none"/>
          <w:u w:val="none"/>
        </w:rPr>
        <w:t>五、评价结论及建议</w:t>
      </w:r>
      <w:bookmarkEnd w:id="9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经单位自我评估，我单位重大传染病防控项目自评得分为</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预算绩效管理工作能力有待提升，项目支出绩效目标编制有待进一步加强。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加强财务与业务人员的预算管理相关知识学习，建立健全的内部预算管理控制机制。</w:t>
      </w:r>
      <w:r>
        <w:rPr>
          <w:rFonts w:hint="eastAsia" w:ascii="仿宋_GB2312" w:hAnsi="仿宋_GB2312" w:eastAsia="仿宋_GB2312" w:cs="仿宋_GB2312"/>
          <w:color w:val="auto"/>
          <w:kern w:val="0"/>
          <w:sz w:val="18"/>
          <w:szCs w:val="18"/>
          <w:highlight w:val="none"/>
          <w:u w:val="none"/>
          <w:shd w:val="clear" w:color="auto" w:fill="FFFFFF"/>
          <w:lang w:val="zh-CN"/>
        </w:rPr>
        <w:br w:type="page"/>
      </w:r>
    </w:p>
    <w:p>
      <w:pPr>
        <w:pStyle w:val="5"/>
        <w:outlineLvl w:val="1"/>
        <w:rPr>
          <w:rFonts w:hint="eastAsia" w:eastAsia="仿宋_GB2312"/>
          <w:color w:val="auto"/>
          <w:sz w:val="32"/>
          <w:szCs w:val="32"/>
          <w:highlight w:val="none"/>
          <w:lang w:val="en-US" w:eastAsia="zh-CN"/>
        </w:rPr>
      </w:pPr>
      <w:bookmarkStart w:id="97" w:name="_Toc18651"/>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97"/>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2022年内江市市中区人民医院特种车辆采购</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项目绩效自评报告</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98" w:name="_Toc18294"/>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9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医院依照市中区委区政府和区卫健局规定和要求，承担临床医疗、医学教育、医学科研、预防保健、康复和急诊急救等任务，是县级区域医疗中心。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根据《内江市卫生健康委员会 内江市财政局关于转发加强新冠肺炎疫情防控能力提升有关事项的通知》文件。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3．资金或项目管理办法制定情况，资金支持具体项目的条件、范围与支持方式概况。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医院制定有专项资金管理制度，将严格遵循资金使用程序，遵循审批标准，确保专款专用、合理合法合规使用资金。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4．资金分配的原则及考虑因素。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项目资金严格按照资金适用范围合理使用，从实际出发，保证重点、兼顾一般，充分考虑单位基本运行、发展和建设的需要。</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医院一台负压救护车已经不能满足工作需要，因新冠疫情再次扩散，我院急需采购一台负压救护车，应对新冠疫情，提高疫情防范能力，减少病毒传播概率，缓解中区相关设备不足，减少中区居民感染风险。</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总体目标：医院一台负压救护车已经不能满足工作需要，因新冠疫情再次扩散，我院急需采购一台负压救护车，应对新冠疫情，提高疫情防范能力，减少病毒传播概率，缓解中区相关设备不足，减少中区居民感染风险。</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项目绩效目标的量化、细化明细如下：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数量指标：采购负压救护车数量＝1台</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质量指标：验收合格率</w:t>
      </w:r>
      <w:r>
        <w:rPr>
          <w:rFonts w:hint="eastAsia" w:ascii="仿宋_GB2312" w:hAnsi="宋体" w:eastAsia="仿宋_GB2312" w:cs="Times New Roman"/>
          <w:color w:val="auto"/>
          <w:sz w:val="32"/>
          <w:szCs w:val="32"/>
          <w:highlight w:val="none"/>
          <w:lang w:val="en-US" w:eastAsia="zh-CN"/>
        </w:rPr>
        <w:t>＝100%。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时效指标：项目完成时间为</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2022年12月31日前。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成本指标：采购负压救护车成本≤80万元。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社会效益指标：居民健康水平提高。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可持续影响指标：疫情防控能力提高</w:t>
      </w:r>
      <w:r>
        <w:rPr>
          <w:rFonts w:hint="eastAsia" w:ascii="仿宋_GB2312" w:hAnsi="宋体" w:eastAsia="仿宋_GB2312" w:cs="Times New Roman"/>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服务对象满意度指标：服务对象满意度≥90%。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s="Times New Roman"/>
          <w:color w:val="auto"/>
          <w:sz w:val="32"/>
          <w:szCs w:val="32"/>
          <w:highlight w:val="none"/>
          <w:lang w:val="zh-CN" w:eastAsia="zh-CN"/>
        </w:rPr>
        <w:t>评价申报内容及绩效目标按区财政及区卫健局下发文件执行设定，与实际相符、合理可行。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内江市市中区财政局关于开展2023年财政支出绩效评价工作的通知》（内市区财绩〔2023〕619号）文件要求，我院根据项目实施采购负压救护车数量、验收合格率、采购负压救护车成本等指标，立即组织相关人员开展绩效自评工作。我单位评价方法采取分级评分法、缺（错）项扣分法、比率分值法等方法计算与评价相关绩效目标，绩效目标全部完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99" w:name="_Toc15905"/>
      <w:r>
        <w:rPr>
          <w:rFonts w:hint="eastAsia" w:ascii="黑体" w:hAnsi="宋体" w:eastAsia="黑体"/>
          <w:color w:val="auto"/>
          <w:sz w:val="32"/>
          <w:szCs w:val="32"/>
          <w:highlight w:val="none"/>
          <w:u w:val="none"/>
        </w:rPr>
        <w:t>二、项目资金申报及使用情况</w:t>
      </w:r>
      <w:bookmarkEnd w:id="99"/>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根据《内江市卫生健康委员会 内江市财政局关于转发加强新冠肺炎疫情防控能力提升有关事项的通知》文件申报及批复项目资金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65万元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该项目资金包括区级财政资金65万元，无单位自筹、其他渠道资金。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截止评价时点该项目资金已全部到位，包括区级财政资金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65万元。资金到位率100%，资金到位及时，未出现资金不到位或到位不及时的情况。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截止评价时点该项目资金已全部实现支付，资金支付范围、支付标准、支付进度、支付依据等合规合法，与预算相符。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100" w:name="_Toc16021"/>
      <w:r>
        <w:rPr>
          <w:rFonts w:hint="eastAsia" w:ascii="黑体" w:hAnsi="宋体" w:eastAsia="黑体"/>
          <w:color w:val="auto"/>
          <w:sz w:val="32"/>
          <w:szCs w:val="32"/>
          <w:highlight w:val="none"/>
          <w:u w:val="none"/>
        </w:rPr>
        <w:t>三、项目实施及管理情况</w:t>
      </w:r>
      <w:bookmarkEnd w:id="10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项目下达前建立制度、方案等，在项目下达后按照方案、制度执行，项目中进行项目绩效运行监控，项目结束后对项目进行绩效评价和总结。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本项目资金使用严格按照资金适用范围、严格执行审批制度，遵循审批标准。经费使用坚持“三重一大”集体审批原则。</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项目资金使用严格履行审批制度，资金拨付有原则，严格遵循资金使用程序。由经办人、科室负责人、分管领导签字确认属实，财务科审核签字，主要领导审批后方可拨付。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01" w:name="_Toc7178"/>
      <w:r>
        <w:rPr>
          <w:rFonts w:hint="eastAsia" w:ascii="黑体" w:hAnsi="宋体" w:eastAsia="黑体"/>
          <w:color w:val="auto"/>
          <w:sz w:val="32"/>
          <w:szCs w:val="32"/>
          <w:highlight w:val="none"/>
          <w:u w:val="none"/>
        </w:rPr>
        <w:t>四、项目绩效情况</w:t>
      </w:r>
      <w:bookmarkEnd w:id="101"/>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本项目绩效指标基本完成，具体指标完成情况如下：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数量指标：“采购负压救护车数量”，通过本项目实施采购负压救护车数量为1台。</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质量指标：“验收合格率”，通过本项目实施验收合格率为100%。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时效指标：“项目完成时间”，本项目完成时间为2022年5月23日。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成本指标：“采购负压救护车成本”，通过本项目实施采购负压救护车成本为65万元。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本项目绩效指标均已完成，具体指标完成情况如下：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社会效益指标：“居民健康水平”，通过本项目实施居民健康水平得到了提高。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可持续影响指标：“疫情防控能力”，通过本项目实施疫情防控能力得到了提高。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服务对象满意度指标：“服务对象满意度”，通过本项目实施服务对象满意度为90%。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2" w:name="_Toc684"/>
      <w:r>
        <w:rPr>
          <w:rFonts w:hint="eastAsia" w:ascii="黑体" w:hAnsi="宋体" w:eastAsia="黑体"/>
          <w:color w:val="auto"/>
          <w:sz w:val="32"/>
          <w:szCs w:val="32"/>
          <w:highlight w:val="none"/>
          <w:u w:val="none"/>
        </w:rPr>
        <w:t>五、评价结论及建议</w:t>
      </w:r>
      <w:bookmarkEnd w:id="10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经单位自我评估，我单位重大传染病防控项目自评得分为</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预算绩效管理工作能力有待提升，项目支出绩效目标编制有待进一步加强。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28"/>
          <w:szCs w:val="28"/>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加强财务与业务人员的预算管理相关知识学习，建立健全的内部预算管理控制机制。</w:t>
      </w:r>
    </w:p>
    <w:p>
      <w:pPr>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br w:type="page"/>
      </w:r>
    </w:p>
    <w:p>
      <w:pPr>
        <w:pStyle w:val="5"/>
        <w:outlineLvl w:val="1"/>
        <w:rPr>
          <w:rFonts w:hint="eastAsia" w:eastAsia="仿宋_GB2312"/>
          <w:color w:val="auto"/>
          <w:sz w:val="32"/>
          <w:szCs w:val="32"/>
          <w:highlight w:val="none"/>
          <w:lang w:val="en-US" w:eastAsia="zh-CN"/>
        </w:rPr>
      </w:pPr>
      <w:bookmarkStart w:id="103" w:name="_Toc16247"/>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103"/>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2022年区属医疗卫生单位疫情防控全员核酸检测经费</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项目绩效自评报告</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104" w:name="_Toc11764"/>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0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医院依照市中区委区政府和区卫健局规定和要求，承担临床医疗、医学教育、医学科研、预防保健、康复和急诊急救等任务，是县级区域医疗中心。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根据《内江市市中区财政局关于安排相关部门及各镇（街）根据9月8日市中区应急指挥部发布全面加强疫情防控通告的相关工作经费的请示》（内市区财社〔2022〕952号）文件。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3．资金或项目管理办法制定情况，资金支持具体项目的条件、范围与支持方式概况。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医院制定有专项资金管理制度，将严格遵循资金使用程序，遵循审批标准，确保专款专用、合理合法合规使用资金。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4．资金分配的原则及考虑因素。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项目资金严格按照资金适用范围合理使用，从实际出发，保证重点、兼顾一般，充分考虑单位基本运行、发展和建设的需要。</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根据《内江市市中区应对新型冠状病毒感染肺炎疫情应急指挥部关于全面加强疫情防控的通告》精神，根据我区疫情防控需要，为切实保障广大市民群众身体健康，开展本项目。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项目总体目标：完成疫情防控全员核酸检测任务，提高居民健康水平。</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项目绩效目标的量化、细化明细如下：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数量指标：预算资金支出率＝</w:t>
      </w:r>
      <w:r>
        <w:rPr>
          <w:rFonts w:hint="eastAsia" w:ascii="仿宋_GB2312" w:hAnsi="仿宋_GB2312" w:eastAsia="仿宋_GB2312" w:cs="仿宋_GB2312"/>
          <w:color w:val="auto"/>
          <w:kern w:val="0"/>
          <w:sz w:val="32"/>
          <w:szCs w:val="32"/>
          <w:highlight w:val="none"/>
          <w:u w:val="none"/>
          <w:shd w:val="clear" w:color="auto" w:fill="FFFFFF"/>
          <w:lang w:val="en-US" w:eastAsia="zh-CN"/>
        </w:rPr>
        <w:t>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质量指标：项目完成率</w:t>
      </w:r>
      <w:r>
        <w:rPr>
          <w:rFonts w:hint="eastAsia" w:ascii="仿宋_GB2312" w:hAnsi="宋体" w:eastAsia="仿宋_GB2312" w:cs="Times New Roman"/>
          <w:color w:val="auto"/>
          <w:sz w:val="32"/>
          <w:szCs w:val="32"/>
          <w:highlight w:val="none"/>
          <w:lang w:val="en-US" w:eastAsia="zh-CN"/>
        </w:rPr>
        <w:t>＝100%。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时效指标：项目完成时间为</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2022年12月31日前。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成本指标：全员核酸检测经费=30万元。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社会效益指标：居民健康水平提高。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服务对象满意度指标：核酸检测对象满意度≥80%。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s="Times New Roman"/>
          <w:color w:val="auto"/>
          <w:sz w:val="32"/>
          <w:szCs w:val="32"/>
          <w:highlight w:val="none"/>
          <w:lang w:val="zh-CN" w:eastAsia="zh-CN"/>
        </w:rPr>
        <w:t>评价申报内容及绩效目标按区财政及区卫健局下发文件执行设定，与实际相符、合理可行。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内江市市中区财政局关于开展2023年财政支出绩效评价工作的通知》（内市区财绩〔2023〕619号）文件要求，我院根据项目实施采购负压救护车数量、验收合格率、采购负压救护车成本等指标，立即组织相关人员开展绩效自评工作。我单位评价方法采取分级评分法、缺（错）项扣分法、比率分值法等方法计算与评价相关绩效目标，绩效目标全部完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5" w:name="_Toc20245"/>
      <w:r>
        <w:rPr>
          <w:rFonts w:hint="eastAsia" w:ascii="黑体" w:hAnsi="宋体" w:eastAsia="黑体"/>
          <w:color w:val="auto"/>
          <w:sz w:val="32"/>
          <w:szCs w:val="32"/>
          <w:highlight w:val="none"/>
          <w:u w:val="none"/>
        </w:rPr>
        <w:t>二、项目资金申报及使用情况</w:t>
      </w:r>
      <w:bookmarkEnd w:id="105"/>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根据《内江市市中区财政局关于安排相关部门及各镇（街）根据9月8日市中区应急指挥部发布全面加强疫情防控通告的相关工作经费的请示》（内市区财社〔2022〕952号）文件申报及批复项目资金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30万元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该项目资金包括区级财政资金30万元，无单位自筹、其他渠道资金。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截止评价时点该项目资金已全部到位，包括区级财政资金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30万元。资金到位率100%，资金到位及时，未出现资金不到位或到位不及时的情况。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截止评价时点该项目资金已全部实现支付，资金支付范围、支付标准、支付进度、支付依据等合规合法，与预算相符。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106" w:name="_Toc21591"/>
      <w:r>
        <w:rPr>
          <w:rFonts w:hint="eastAsia" w:ascii="黑体" w:hAnsi="宋体" w:eastAsia="黑体"/>
          <w:color w:val="auto"/>
          <w:sz w:val="32"/>
          <w:szCs w:val="32"/>
          <w:highlight w:val="none"/>
          <w:u w:val="none"/>
        </w:rPr>
        <w:t>三、项目实施及管理情况</w:t>
      </w:r>
      <w:bookmarkEnd w:id="10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项目下达前建立制度、方案等，在项目下达后按照方案、制度执行，项目中进行项目绩效运行监控，项目结束后对项目进行绩效评价和总结。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本项目资金使用严格按照资金适用范围、严格执行审批制度，遵循审批标准。经费使用坚持“三重一大”集体审批原则。</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项目资金使用严格履行审批制度，资金拨付有原则，严格遵循资金使用程序。由经办人、科室负责人、分管领导签字确认属实，财务科审核签字，主要领导审批后方可拨付。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07" w:name="_Toc16209"/>
      <w:r>
        <w:rPr>
          <w:rFonts w:hint="eastAsia" w:ascii="黑体" w:hAnsi="宋体" w:eastAsia="黑体"/>
          <w:color w:val="auto"/>
          <w:sz w:val="32"/>
          <w:szCs w:val="32"/>
          <w:highlight w:val="none"/>
          <w:u w:val="none"/>
        </w:rPr>
        <w:t>四、项目绩效情况</w:t>
      </w:r>
      <w:bookmarkEnd w:id="107"/>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本项目绩效指标基本完成，具体指标完成情况如下：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数量指标：“预算资金支出率”，通过本项目实施预算资金支出率为100%。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质量指标：“项目完成率”，通过本项目实施项目完成率为100%。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时效指标：“项目完成时间”，本项目完成时间为2022年10月31日。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成本指标：“全员核酸检测经费”，通过本项目实施采购负压救护车成本为65万元。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本项目绩效指标均已完成，具体指标完成情况如下：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社会效益指标：“居民健康水平”，通过本项目实施居民健康水平得到了提高。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服务对象满意度指标：“核酸检测对象满意度”，通过本项目实施核酸检测对象满意度为90%。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8" w:name="_Toc12307"/>
      <w:r>
        <w:rPr>
          <w:rFonts w:hint="eastAsia" w:ascii="黑体" w:hAnsi="宋体" w:eastAsia="黑体"/>
          <w:color w:val="auto"/>
          <w:sz w:val="32"/>
          <w:szCs w:val="32"/>
          <w:highlight w:val="none"/>
          <w:u w:val="none"/>
        </w:rPr>
        <w:t>五、评价结论及建议</w:t>
      </w:r>
      <w:bookmarkEnd w:id="10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经单位自我评估，我单位重大传染病防控项目自评得分为</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预算绩效管理工作能力有待提升，项目支出绩效目标编制有待进一步加强。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加强财务与业务人员的预算管理相关知识学习，建立健全的内部预算管理控制机制。</w:t>
      </w:r>
    </w:p>
    <w:p>
      <w:pPr>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br w:type="page"/>
      </w:r>
    </w:p>
    <w:p>
      <w:pPr>
        <w:pStyle w:val="5"/>
        <w:outlineLvl w:val="1"/>
        <w:rPr>
          <w:rFonts w:hint="eastAsia" w:eastAsia="仿宋_GB2312"/>
          <w:color w:val="auto"/>
          <w:sz w:val="32"/>
          <w:szCs w:val="32"/>
          <w:highlight w:val="none"/>
          <w:lang w:val="en-US" w:eastAsia="zh-CN"/>
        </w:rPr>
      </w:pPr>
      <w:bookmarkStart w:id="109" w:name="_Toc8939"/>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109"/>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2022年新冠核酸检测设备采购资金</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项目绩效自评报告</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110" w:name="_Toc11388"/>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1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医院依照市中区委区政府和区卫健局规定和要求，承担临床医疗、医学教育、医学科研、预防保健、康复和急诊急救等任务，是县级区域医疗中心。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应对新型冠状病毒感染肺炎疫情应急指挥部办公室关于转发提升全省新型冠状病毒核酸检测能力工作方案的通知》、《中共内江市市中区卫生健康委员会关于同意区人民医院紧急采购核酸检测设备的批复》文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3．资金或项目管理办法制定情况，资金支持具体项目的条件、范围与支持方式概况。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医院制定有专项资金管理制度，将严格遵循资金使用程序，遵循审批标准，确保专款专用、合理合法合规使用资金。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4．资金分配的原则及考虑因素。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项目资金严格按照资金适用范围合理使用，从实际出发，保证重点、兼顾一般，充分考虑单位基本运行、发展和建设的需要。</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应对新型冠状病毒感染肺炎疫情应急指挥部办公室指示：解决核酸检测效率问题，发热病人等待时间问题，提升核酸检测能力，确保大规模核酸检测工作时，能高效完成检测任务。加强人员培训，对采样、转运、检测人员培训并考核，根据岗位职责开展培训，确保检测工作安全而高效。</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总体目标：根据内江市应对新型冠状病毒感染肺炎疫情应急指挥部办公室指示：解决核酸检测效率问题，发热病人等待时间问题，提升核酸检测能力，确保大规模核酸检测工作时，能高效完成检测任务。加强人员培训，对采样、转运、检测人员培训并考核，根据岗位职责开展培训，确保检测工作安全而高效。</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项目绩效目标的量化、细化明细如下：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数量指标：购置设备数量</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zh-CN"/>
        </w:rPr>
        <w:t>2台（套）、</w:t>
      </w:r>
      <w:r>
        <w:rPr>
          <w:rFonts w:hint="eastAsia" w:ascii="仿宋_GB2312" w:hAnsi="仿宋_GB2312" w:eastAsia="仿宋_GB2312" w:cs="仿宋_GB2312"/>
          <w:color w:val="auto"/>
          <w:kern w:val="0"/>
          <w:sz w:val="32"/>
          <w:szCs w:val="32"/>
          <w:highlight w:val="none"/>
          <w:u w:val="none"/>
          <w:shd w:val="clear" w:color="auto" w:fill="FFFFFF"/>
          <w:lang w:val="en-US" w:eastAsia="zh-CN"/>
        </w:rPr>
        <w:t>政府采购率</w:t>
      </w:r>
      <w:r>
        <w:rPr>
          <w:rFonts w:hint="eastAsia" w:ascii="仿宋_GB2312" w:hAnsi="宋体" w:eastAsia="仿宋_GB2312" w:cs="Times New Roman"/>
          <w:color w:val="auto"/>
          <w:sz w:val="32"/>
          <w:szCs w:val="32"/>
          <w:highlight w:val="none"/>
          <w:lang w:val="en-US" w:eastAsia="zh-CN"/>
        </w:rPr>
        <w:t>=100%</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质量指标：设备质量合格率</w:t>
      </w:r>
      <w:r>
        <w:rPr>
          <w:rFonts w:hint="eastAsia" w:ascii="仿宋_GB2312" w:hAnsi="宋体" w:eastAsia="仿宋_GB2312" w:cs="Times New Roman"/>
          <w:color w:val="auto"/>
          <w:sz w:val="32"/>
          <w:szCs w:val="32"/>
          <w:highlight w:val="none"/>
          <w:lang w:val="en-US" w:eastAsia="zh-CN"/>
        </w:rPr>
        <w:t>=100%、安装工程验收合格率=100%、设备故障率≤10%。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时效指标：核酸检测结果及时率≤4小时</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成本指标：核酸检测设备购置成本＝38万元。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社会效益指标：设备利用率≥90%。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可持续影响指标：设备使用年限≥1年。</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服务对象满意度指标：使用人员满意度≥90%。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s="Times New Roman"/>
          <w:color w:val="auto"/>
          <w:sz w:val="32"/>
          <w:szCs w:val="32"/>
          <w:highlight w:val="none"/>
          <w:lang w:val="zh-CN" w:eastAsia="zh-CN"/>
        </w:rPr>
        <w:t>评价申报内容及绩效目标按区财政及区卫健局下发文件执行设定，与实际相符、合理可行。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按照《内江市市中区财政局关于开展2023年财政支出绩效评价工作的通知》（内市区财绩〔2023〕619号）文件要求，我院根据项目实施政府采购率、设备质量合格率、核酸检测结果及时率等指标，立即组织相关人员开展绩效自评工作。我单位评价方法采取分级评分法、缺（错）项扣分法、比率分值法等方法计算与评价相关绩效目标，绩效目标全部完成。</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11" w:name="_Toc5427"/>
      <w:r>
        <w:rPr>
          <w:rFonts w:hint="eastAsia" w:ascii="黑体" w:hAnsi="宋体" w:eastAsia="黑体"/>
          <w:color w:val="auto"/>
          <w:sz w:val="32"/>
          <w:szCs w:val="32"/>
          <w:highlight w:val="none"/>
          <w:u w:val="none"/>
        </w:rPr>
        <w:t>二、项目资金申报及使用情况</w:t>
      </w:r>
      <w:bookmarkEnd w:id="111"/>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根据《内江市应对新型冠状病毒感染肺炎疫情应急指挥部办公室关于转发提升全省新型冠状病毒核酸检测能力工作方案的通知》、《中共内江市市中区卫生健康委员会关于同意区人民医院紧急采购核酸检测设备的批复》文件申报及批复项目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38万元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该项目资金包括区级财政资金38万元，无单位自筹、其他渠道资金。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截止评价时点该项目资金已全部到位，包括区级财政资金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38万元。资金到位率100%，资金到位及时，未出现资金不到位或到位不及时的情况。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截止评价时点该项目资金已全部实现支付，资金支付范围、支付标准、支付进度、支付依据等合规合法，与预算相符。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医院财务管理制度健全，严格执行财务管理制度，账务处理及时，会计核算规范。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112" w:name="_Toc1981"/>
      <w:r>
        <w:rPr>
          <w:rFonts w:hint="eastAsia" w:ascii="黑体" w:hAnsi="宋体" w:eastAsia="黑体"/>
          <w:color w:val="auto"/>
          <w:sz w:val="32"/>
          <w:szCs w:val="32"/>
          <w:highlight w:val="none"/>
          <w:u w:val="none"/>
        </w:rPr>
        <w:t>三、项目实施及管理情况</w:t>
      </w:r>
      <w:bookmarkEnd w:id="11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项目下达前建立制度、方案等，在项目下达后按照方案、制度执行，项目中进行项目绩效运行监控，项目结束后对项目进行绩效评价和总结。</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本项目资金使用严格按照资金适用范围、严格执行审批制度，遵循审批标准。经费使用坚持“三重一大”集体审批原则。</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项目资金使用严格履行审批制度，资金拨付有原则，严格遵循资金使用程序。由经办人、科室负责人、分管领导签字确认属实，财务科审核签字，主要领导审批后方可拨付。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13" w:name="_Toc13117"/>
      <w:r>
        <w:rPr>
          <w:rFonts w:hint="eastAsia" w:ascii="黑体" w:hAnsi="宋体" w:eastAsia="黑体"/>
          <w:color w:val="auto"/>
          <w:sz w:val="32"/>
          <w:szCs w:val="32"/>
          <w:highlight w:val="none"/>
          <w:u w:val="none"/>
        </w:rPr>
        <w:t>四、项目绩效情况</w:t>
      </w:r>
      <w:bookmarkEnd w:id="113"/>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本项目绩效指标全部完成，具体指标完成情况如下：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数量指标：“购置设备数量”，通过本项目实施购置设备数量为2台；“政府采购率”，通过本项目实施政府采购率为100%。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质量指标：“设备质量合格率”，通过本项目实施设备质量合格率为100%；“安装工程验收合格率”，通过本项目实施安装工程验收合格率为100%；“设备故障率”，通过本项目实施设备故障率为0%。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时效指标：“核酸检测结果及时率”，通过本项目实施核酸检测结果及时率为≤4小时。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成本指标：“核酸检测设备购置成本”，通过本项目实施核酸检测设备购置成本为38万元。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本项目绩效指标全部完成，具体指标完成情况如下：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社会效益指标：“设备利用率”，通过本项目实施设备利用率为90%。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可持续影响指标：“设备使用年限”，通过本项目实施设备使用年限已使用超过1年。</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服务对象满意度指标：“使用人员满意度”，通过本项目实施使用人员满意度为90%。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14" w:name="_Toc19410"/>
      <w:r>
        <w:rPr>
          <w:rFonts w:hint="eastAsia" w:ascii="黑体" w:hAnsi="宋体" w:eastAsia="黑体"/>
          <w:color w:val="auto"/>
          <w:sz w:val="32"/>
          <w:szCs w:val="32"/>
          <w:highlight w:val="none"/>
          <w:u w:val="none"/>
        </w:rPr>
        <w:t>五、评价结论及建议</w:t>
      </w:r>
      <w:bookmarkEnd w:id="11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经单位自我评估，我单位重大传染病防控项目自评得分为</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预算绩效管理工作能力有待提升，项目支出绩效目标编制有待进一步加强。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加强财务与业务人员的预算管理相关知识学习，建立健全的内部预算管理控制机制。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p>
    <w:p>
      <w:pPr>
        <w:spacing w:line="580" w:lineRule="exact"/>
        <w:rPr>
          <w:rStyle w:val="29"/>
          <w:rFonts w:ascii="黑体" w:hAnsi="黑体" w:eastAsia="黑体"/>
          <w:b w:val="0"/>
          <w:color w:val="auto"/>
          <w:highlight w:val="none"/>
        </w:rPr>
      </w:pPr>
    </w:p>
    <w:p>
      <w:pPr>
        <w:widowControl/>
        <w:jc w:val="left"/>
        <w:rPr>
          <w:rStyle w:val="29"/>
          <w:rFonts w:ascii="黑体" w:hAnsi="黑体" w:eastAsia="黑体"/>
          <w:b w:val="0"/>
          <w:color w:val="auto"/>
          <w:highlight w:val="none"/>
        </w:rPr>
      </w:pPr>
      <w:r>
        <w:rPr>
          <w:rStyle w:val="29"/>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115" w:name="_Toc901"/>
      <w:bookmarkStart w:id="116" w:name="_Toc15396618"/>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76"/>
      <w:bookmarkEnd w:id="115"/>
      <w:bookmarkEnd w:id="116"/>
      <w:bookmarkStart w:id="117" w:name="_Toc15396619"/>
    </w:p>
    <w:p>
      <w:pPr>
        <w:pStyle w:val="3"/>
        <w:rPr>
          <w:rFonts w:ascii="仿宋" w:hAnsi="仿宋" w:eastAsia="仿宋"/>
          <w:color w:val="auto"/>
          <w:highlight w:val="none"/>
        </w:rPr>
      </w:pPr>
      <w:bookmarkStart w:id="118" w:name="_Toc8201"/>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117"/>
      <w:bookmarkEnd w:id="118"/>
    </w:p>
    <w:p>
      <w:pPr>
        <w:pStyle w:val="3"/>
        <w:rPr>
          <w:rFonts w:ascii="仿宋" w:hAnsi="仿宋" w:eastAsia="仿宋"/>
          <w:color w:val="auto"/>
          <w:highlight w:val="none"/>
        </w:rPr>
      </w:pPr>
      <w:bookmarkStart w:id="119" w:name="_Toc15396620"/>
      <w:bookmarkStart w:id="120" w:name="_Toc26584"/>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119"/>
      <w:bookmarkEnd w:id="120"/>
    </w:p>
    <w:p>
      <w:pPr>
        <w:pStyle w:val="3"/>
        <w:rPr>
          <w:rFonts w:ascii="仿宋" w:hAnsi="仿宋" w:eastAsia="仿宋"/>
          <w:color w:val="auto"/>
          <w:highlight w:val="none"/>
        </w:rPr>
      </w:pPr>
      <w:bookmarkStart w:id="121" w:name="_Toc16329"/>
      <w:bookmarkStart w:id="122"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121"/>
      <w:bookmarkEnd w:id="122"/>
    </w:p>
    <w:p>
      <w:pPr>
        <w:pStyle w:val="3"/>
        <w:rPr>
          <w:rFonts w:ascii="仿宋" w:hAnsi="仿宋" w:eastAsia="仿宋"/>
          <w:b w:val="0"/>
          <w:color w:val="auto"/>
          <w:highlight w:val="none"/>
        </w:rPr>
      </w:pPr>
      <w:bookmarkStart w:id="123" w:name="_Toc15396622"/>
      <w:bookmarkStart w:id="124" w:name="_Toc21385"/>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123"/>
      <w:bookmarkEnd w:id="124"/>
    </w:p>
    <w:p>
      <w:pPr>
        <w:pStyle w:val="3"/>
        <w:rPr>
          <w:rStyle w:val="30"/>
          <w:rFonts w:ascii="仿宋" w:hAnsi="仿宋" w:eastAsia="仿宋"/>
          <w:b w:val="0"/>
          <w:bCs w:val="0"/>
          <w:color w:val="auto"/>
          <w:highlight w:val="none"/>
        </w:rPr>
      </w:pPr>
      <w:bookmarkStart w:id="125" w:name="_Toc15396623"/>
      <w:bookmarkStart w:id="126" w:name="_Toc2174"/>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125"/>
      <w:bookmarkEnd w:id="126"/>
      <w:bookmarkStart w:id="127" w:name="_Toc15396624"/>
    </w:p>
    <w:p>
      <w:pPr>
        <w:pStyle w:val="3"/>
        <w:rPr>
          <w:rFonts w:ascii="仿宋" w:hAnsi="仿宋" w:eastAsia="仿宋"/>
          <w:color w:val="auto"/>
          <w:highlight w:val="none"/>
        </w:rPr>
      </w:pPr>
      <w:bookmarkStart w:id="128" w:name="_Toc4146"/>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127"/>
      <w:bookmarkEnd w:id="128"/>
    </w:p>
    <w:p>
      <w:pPr>
        <w:pStyle w:val="3"/>
        <w:rPr>
          <w:rFonts w:ascii="仿宋" w:hAnsi="仿宋" w:eastAsia="仿宋"/>
          <w:color w:val="auto"/>
          <w:highlight w:val="none"/>
        </w:rPr>
      </w:pPr>
      <w:bookmarkStart w:id="129" w:name="_Toc15396625"/>
      <w:bookmarkStart w:id="130" w:name="_Toc24524"/>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29"/>
      <w:bookmarkEnd w:id="130"/>
    </w:p>
    <w:p>
      <w:pPr>
        <w:pStyle w:val="3"/>
        <w:rPr>
          <w:rFonts w:ascii="仿宋" w:hAnsi="仿宋" w:eastAsia="仿宋"/>
          <w:color w:val="auto"/>
          <w:highlight w:val="none"/>
        </w:rPr>
      </w:pPr>
      <w:bookmarkStart w:id="131" w:name="_Toc15396626"/>
      <w:bookmarkStart w:id="132" w:name="_Toc28048"/>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31"/>
      <w:bookmarkEnd w:id="132"/>
    </w:p>
    <w:p>
      <w:pPr>
        <w:pStyle w:val="3"/>
        <w:rPr>
          <w:rFonts w:ascii="仿宋" w:hAnsi="仿宋" w:eastAsia="仿宋"/>
          <w:color w:val="auto"/>
          <w:highlight w:val="none"/>
        </w:rPr>
      </w:pPr>
      <w:bookmarkStart w:id="133" w:name="_Toc15396627"/>
      <w:bookmarkStart w:id="134" w:name="_Toc3186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33"/>
      <w:bookmarkEnd w:id="134"/>
    </w:p>
    <w:p>
      <w:pPr>
        <w:pStyle w:val="3"/>
        <w:rPr>
          <w:rFonts w:ascii="仿宋" w:hAnsi="仿宋" w:eastAsia="仿宋"/>
          <w:color w:val="auto"/>
          <w:highlight w:val="none"/>
        </w:rPr>
      </w:pPr>
      <w:bookmarkStart w:id="135" w:name="_Toc15396628"/>
      <w:bookmarkStart w:id="136" w:name="_Toc23874"/>
      <w:r>
        <w:rPr>
          <w:rStyle w:val="30"/>
          <w:rFonts w:hint="eastAsia" w:ascii="仿宋" w:hAnsi="仿宋" w:eastAsia="仿宋"/>
          <w:b w:val="0"/>
          <w:bCs w:val="0"/>
          <w:color w:val="auto"/>
          <w:highlight w:val="none"/>
        </w:rPr>
        <w:t>十、</w:t>
      </w:r>
      <w:bookmarkEnd w:id="135"/>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36"/>
    </w:p>
    <w:p>
      <w:pPr>
        <w:pStyle w:val="3"/>
        <w:rPr>
          <w:rFonts w:ascii="仿宋" w:hAnsi="仿宋" w:eastAsia="仿宋"/>
          <w:color w:val="auto"/>
          <w:highlight w:val="none"/>
        </w:rPr>
      </w:pPr>
      <w:bookmarkStart w:id="137" w:name="_Toc15396629"/>
      <w:bookmarkStart w:id="138" w:name="_Toc12227"/>
      <w:r>
        <w:rPr>
          <w:rStyle w:val="30"/>
          <w:rFonts w:hint="eastAsia" w:ascii="仿宋" w:hAnsi="仿宋" w:eastAsia="仿宋"/>
          <w:b w:val="0"/>
          <w:bCs w:val="0"/>
          <w:color w:val="auto"/>
          <w:highlight w:val="none"/>
        </w:rPr>
        <w:t>十一、</w:t>
      </w:r>
      <w:bookmarkEnd w:id="137"/>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38"/>
    </w:p>
    <w:p>
      <w:pPr>
        <w:pStyle w:val="3"/>
        <w:rPr>
          <w:rFonts w:ascii="仿宋" w:hAnsi="仿宋" w:eastAsia="仿宋"/>
          <w:color w:val="auto"/>
          <w:highlight w:val="none"/>
        </w:rPr>
      </w:pPr>
      <w:bookmarkStart w:id="139" w:name="_Toc15396630"/>
      <w:bookmarkStart w:id="140" w:name="_Toc16750"/>
      <w:r>
        <w:rPr>
          <w:rStyle w:val="30"/>
          <w:rFonts w:hint="eastAsia" w:ascii="仿宋" w:hAnsi="仿宋" w:eastAsia="仿宋"/>
          <w:b w:val="0"/>
          <w:bCs w:val="0"/>
          <w:color w:val="auto"/>
          <w:highlight w:val="none"/>
        </w:rPr>
        <w:t>十二、</w:t>
      </w:r>
      <w:bookmarkEnd w:id="139"/>
      <w:r>
        <w:rPr>
          <w:rStyle w:val="30"/>
          <w:rFonts w:hint="eastAsia" w:ascii="仿宋" w:hAnsi="仿宋" w:eastAsia="仿宋"/>
          <w:b w:val="0"/>
          <w:bCs w:val="0"/>
          <w:color w:val="auto"/>
          <w:highlight w:val="none"/>
          <w:lang w:eastAsia="zh-CN"/>
        </w:rPr>
        <w:t>国有资本经营预算财政拨款支出决算表</w:t>
      </w:r>
      <w:bookmarkEnd w:id="140"/>
    </w:p>
    <w:p>
      <w:pPr>
        <w:pStyle w:val="3"/>
        <w:rPr>
          <w:rFonts w:hint="eastAsia" w:eastAsia="仿宋"/>
          <w:color w:val="auto"/>
          <w:highlight w:val="none"/>
          <w:lang w:eastAsia="zh-CN"/>
        </w:rPr>
      </w:pPr>
      <w:bookmarkStart w:id="141" w:name="_Toc15396631"/>
      <w:bookmarkStart w:id="142" w:name="_Toc31190"/>
      <w:r>
        <w:rPr>
          <w:rStyle w:val="30"/>
          <w:rFonts w:hint="eastAsia" w:ascii="仿宋" w:hAnsi="仿宋" w:eastAsia="仿宋"/>
          <w:b w:val="0"/>
          <w:bCs w:val="0"/>
          <w:color w:val="auto"/>
          <w:highlight w:val="none"/>
        </w:rPr>
        <w:t>十三、</w:t>
      </w:r>
      <w:bookmarkEnd w:id="141"/>
      <w:r>
        <w:rPr>
          <w:rStyle w:val="30"/>
          <w:rFonts w:hint="eastAsia" w:ascii="仿宋" w:hAnsi="仿宋" w:eastAsia="仿宋"/>
          <w:b w:val="0"/>
          <w:bCs w:val="0"/>
          <w:color w:val="auto"/>
          <w:highlight w:val="none"/>
          <w:lang w:eastAsia="zh-CN"/>
        </w:rPr>
        <w:t>财政拨款“三公”经费支出决算表</w:t>
      </w:r>
      <w:bookmarkEnd w:id="142"/>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FiMTNkZTI0MjNmZDkwZGM5ZGI1MWUxNTNhYz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90950A2"/>
    <w:rsid w:val="0A2032A3"/>
    <w:rsid w:val="0B555A14"/>
    <w:rsid w:val="0E9A64A2"/>
    <w:rsid w:val="0F98263C"/>
    <w:rsid w:val="101860EC"/>
    <w:rsid w:val="10C055FF"/>
    <w:rsid w:val="118107EC"/>
    <w:rsid w:val="13D50BC4"/>
    <w:rsid w:val="16BB723D"/>
    <w:rsid w:val="1BE8440E"/>
    <w:rsid w:val="1D155CEE"/>
    <w:rsid w:val="1E265687"/>
    <w:rsid w:val="1FF35744"/>
    <w:rsid w:val="20945F7D"/>
    <w:rsid w:val="23860B96"/>
    <w:rsid w:val="23B72344"/>
    <w:rsid w:val="240371BF"/>
    <w:rsid w:val="25DC359F"/>
    <w:rsid w:val="25EA0FEE"/>
    <w:rsid w:val="2729474E"/>
    <w:rsid w:val="29FD04D3"/>
    <w:rsid w:val="2C8A61B5"/>
    <w:rsid w:val="2DF04E50"/>
    <w:rsid w:val="2F040D46"/>
    <w:rsid w:val="319F7F4E"/>
    <w:rsid w:val="3304709D"/>
    <w:rsid w:val="36AA5135"/>
    <w:rsid w:val="376D39B2"/>
    <w:rsid w:val="37DA2395"/>
    <w:rsid w:val="37E16F03"/>
    <w:rsid w:val="38D469F0"/>
    <w:rsid w:val="3BB84AEB"/>
    <w:rsid w:val="3D98207C"/>
    <w:rsid w:val="3E78745D"/>
    <w:rsid w:val="44DE6E83"/>
    <w:rsid w:val="44E268DA"/>
    <w:rsid w:val="471F1BDF"/>
    <w:rsid w:val="49A814B7"/>
    <w:rsid w:val="4A627F82"/>
    <w:rsid w:val="4B0E749A"/>
    <w:rsid w:val="4B4F25DA"/>
    <w:rsid w:val="4BE068DB"/>
    <w:rsid w:val="4D577224"/>
    <w:rsid w:val="4EAB630A"/>
    <w:rsid w:val="4ECE2238"/>
    <w:rsid w:val="537E6D0A"/>
    <w:rsid w:val="583D430A"/>
    <w:rsid w:val="5A5C0CF2"/>
    <w:rsid w:val="5AF92295"/>
    <w:rsid w:val="5C3B3E8C"/>
    <w:rsid w:val="5CD71FC4"/>
    <w:rsid w:val="5FF04CD2"/>
    <w:rsid w:val="633D4FF9"/>
    <w:rsid w:val="6C4A05C8"/>
    <w:rsid w:val="6E7E3605"/>
    <w:rsid w:val="6FF5CC65"/>
    <w:rsid w:val="70AF3D31"/>
    <w:rsid w:val="715C0E4B"/>
    <w:rsid w:val="72734D90"/>
    <w:rsid w:val="73AD73D5"/>
    <w:rsid w:val="73B6EB34"/>
    <w:rsid w:val="744731E5"/>
    <w:rsid w:val="76C005B9"/>
    <w:rsid w:val="76E3355F"/>
    <w:rsid w:val="778769C8"/>
    <w:rsid w:val="79EE5BA4"/>
    <w:rsid w:val="7A894339"/>
    <w:rsid w:val="7B714062"/>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szCs w:val="21"/>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font11"/>
    <w:basedOn w:val="17"/>
    <w:qFormat/>
    <w:uiPriority w:val="0"/>
    <w:rPr>
      <w:rFonts w:hint="eastAsia" w:ascii="宋体" w:hAnsi="宋体" w:eastAsia="宋体" w:cs="宋体"/>
      <w:color w:val="000000"/>
      <w:sz w:val="24"/>
      <w:szCs w:val="24"/>
      <w:u w:val="none"/>
    </w:rPr>
  </w:style>
  <w:style w:type="character" w:customStyle="1" w:styleId="37">
    <w:name w:val="font101"/>
    <w:basedOn w:val="17"/>
    <w:qFormat/>
    <w:uiPriority w:val="0"/>
    <w:rPr>
      <w:rFonts w:hint="eastAsia" w:ascii="宋体" w:hAnsi="宋体" w:eastAsia="宋体" w:cs="宋体"/>
      <w:color w:val="FF0000"/>
      <w:sz w:val="24"/>
      <w:szCs w:val="24"/>
      <w:u w:val="none"/>
    </w:rPr>
  </w:style>
  <w:style w:type="paragraph" w:customStyle="1" w:styleId="38">
    <w:name w:val="Plain Text1"/>
    <w:basedOn w:val="1"/>
    <w:qFormat/>
    <w:uiPriority w:val="0"/>
    <w:rPr>
      <w:rFonts w:ascii="宋体" w:hAnsi="Courier New" w:cs="Courier New"/>
      <w:spacing w:val="6"/>
      <w:sz w:val="21"/>
      <w:szCs w:val="21"/>
    </w:rPr>
  </w:style>
  <w:style w:type="paragraph" w:customStyle="1" w:styleId="39">
    <w:name w:val="WPSOffice手动目录 1"/>
    <w:qFormat/>
    <w:uiPriority w:val="0"/>
    <w:pPr>
      <w:ind w:leftChars="0"/>
    </w:pPr>
    <w:rPr>
      <w:rFonts w:asciiTheme="minorHAnsi" w:hAnsiTheme="minorHAnsi" w:eastAsiaTheme="minorEastAsia" w:cstheme="minorBidi"/>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manualLayout>
          <c:xMode val="edge"/>
          <c:yMode val="edge"/>
          <c:x val="0.295657894736842"/>
          <c:y val="0.03125"/>
        </c:manualLayout>
      </c:layout>
      <c:overlay val="0"/>
      <c:spPr>
        <a:noFill/>
        <a:ln>
          <a:noFill/>
        </a:ln>
        <a:effectLst/>
      </c:spPr>
    </c:title>
    <c:autoTitleDeleted val="0"/>
    <c:plotArea>
      <c:layout/>
      <c:barChart>
        <c:barDir val="col"/>
        <c:grouping val="clustered"/>
        <c:varyColors val="0"/>
        <c:ser>
          <c:idx val="0"/>
          <c:order val="0"/>
          <c:tx>
            <c:strRef>
              <c:f>[工作簿1]Sheet2!$B$1</c:f>
              <c:strCache>
                <c:ptCount val="1"/>
                <c:pt idx="0">
                  <c:v>金额（万元）</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delete val="1"/>
          </c:dLbls>
          <c:cat>
            <c:strRef>
              <c:f>[工作簿1]Sheet2!$A$2:$A$3</c:f>
              <c:strCache>
                <c:ptCount val="2"/>
                <c:pt idx="0">
                  <c:v>2021年</c:v>
                </c:pt>
                <c:pt idx="1">
                  <c:v>2022年</c:v>
                </c:pt>
              </c:strCache>
            </c:strRef>
          </c:cat>
          <c:val>
            <c:numRef>
              <c:f>[工作簿1]Sheet2!$B$2:$B$3</c:f>
              <c:numCache>
                <c:formatCode>General</c:formatCode>
                <c:ptCount val="2"/>
                <c:pt idx="0">
                  <c:v>20398.93</c:v>
                </c:pt>
                <c:pt idx="1">
                  <c:v>24828.83</c:v>
                </c:pt>
              </c:numCache>
            </c:numRef>
          </c:val>
        </c:ser>
        <c:dLbls>
          <c:showLegendKey val="0"/>
          <c:showVal val="0"/>
          <c:showCatName val="0"/>
          <c:showSerName val="0"/>
          <c:showPercent val="0"/>
          <c:showBubbleSize val="0"/>
        </c:dLbls>
        <c:gapWidth val="500"/>
        <c:overlap val="-50"/>
        <c:axId val="352426200"/>
        <c:axId val="292586302"/>
      </c:barChart>
      <c:catAx>
        <c:axId val="352426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586302"/>
        <c:crosses val="autoZero"/>
        <c:auto val="1"/>
        <c:lblAlgn val="ctr"/>
        <c:lblOffset val="100"/>
        <c:noMultiLvlLbl val="0"/>
      </c:catAx>
      <c:valAx>
        <c:axId val="292586302"/>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426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manualLayout>
          <c:layoutTarget val="inner"/>
          <c:xMode val="edge"/>
          <c:yMode val="edge"/>
          <c:x val="0.246981719175418"/>
          <c:y val="0.159103836866112"/>
          <c:w val="0.514788020225593"/>
          <c:h val="0.710233431714516"/>
        </c:manualLayout>
      </c:layout>
      <c:pieChart>
        <c:varyColors val="1"/>
        <c:ser>
          <c:idx val="0"/>
          <c:order val="0"/>
          <c:tx>
            <c:strRef>
              <c:f>[工作簿1]Sheet1!$H$1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10968025234069"/>
                  <c:y val="-0.0007997496671420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801.99</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5702.89</a:t>
                    </a:r>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17509.05</a:t>
                    </a:r>
                  </a:p>
                </c:rich>
              </c:tx>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0.0863743955299614"/>
                  <c:y val="-0.0047016582414610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574.23</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[工作簿1]Sheet1!$G$2:$G$5</c:f>
              <c:strCache>
                <c:ptCount val="4"/>
                <c:pt idx="0">
                  <c:v>一般公共预算</c:v>
                </c:pt>
                <c:pt idx="1">
                  <c:v>政府基金预算</c:v>
                </c:pt>
                <c:pt idx="2">
                  <c:v>事业收入</c:v>
                </c:pt>
                <c:pt idx="3">
                  <c:v>其他收入</c:v>
                </c:pt>
              </c:strCache>
            </c:strRef>
          </c:cat>
          <c:val>
            <c:numRef>
              <c:f>[工作簿1]Sheet1!$H$2:$H$5</c:f>
              <c:numCache>
                <c:formatCode>General</c:formatCode>
                <c:ptCount val="4"/>
                <c:pt idx="0">
                  <c:v>801.99</c:v>
                </c:pt>
                <c:pt idx="1">
                  <c:v>5702.89</c:v>
                </c:pt>
                <c:pt idx="2">
                  <c:v>17509.05</c:v>
                </c:pt>
                <c:pt idx="3">
                  <c:v>574.23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[工作簿1]Sheet1!$H$12</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[工作簿1]Sheet1!$G$13:$G$14</c:f>
              <c:strCache>
                <c:ptCount val="2"/>
                <c:pt idx="0">
                  <c:v>基本支出</c:v>
                </c:pt>
                <c:pt idx="1">
                  <c:v>项目支出</c:v>
                </c:pt>
              </c:strCache>
            </c:strRef>
          </c:cat>
          <c:val>
            <c:numRef>
              <c:f>[工作簿1]Sheet1!$H$13:$H$14</c:f>
              <c:numCache>
                <c:formatCode>General</c:formatCode>
                <c:ptCount val="2"/>
                <c:pt idx="0">
                  <c:v>18646.65</c:v>
                </c:pt>
                <c:pt idx="1">
                  <c:v>6182.18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[工作簿1]Sheet1!$B$1</c:f>
              <c:strCache>
                <c:ptCount val="1"/>
                <c:pt idx="0">
                  <c:v>金额（万元）</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delete val="1"/>
          </c:dLbls>
          <c:cat>
            <c:strRef>
              <c:f>[工作簿1]Sheet1!$A$2:$A$3</c:f>
              <c:strCache>
                <c:ptCount val="2"/>
                <c:pt idx="0">
                  <c:v>2021年</c:v>
                </c:pt>
                <c:pt idx="1">
                  <c:v>2022年</c:v>
                </c:pt>
              </c:strCache>
            </c:strRef>
          </c:cat>
          <c:val>
            <c:numRef>
              <c:f>[工作簿1]Sheet1!$B$2:$B$3</c:f>
              <c:numCache>
                <c:formatCode>General</c:formatCode>
                <c:ptCount val="2"/>
                <c:pt idx="0">
                  <c:v>1162.87</c:v>
                </c:pt>
                <c:pt idx="1">
                  <c:v>6602.64</c:v>
                </c:pt>
              </c:numCache>
            </c:numRef>
          </c:val>
        </c:ser>
        <c:dLbls>
          <c:showLegendKey val="0"/>
          <c:showVal val="0"/>
          <c:showCatName val="0"/>
          <c:showSerName val="0"/>
          <c:showPercent val="0"/>
          <c:showBubbleSize val="0"/>
        </c:dLbls>
        <c:gapWidth val="500"/>
        <c:overlap val="-50"/>
        <c:axId val="973124584"/>
        <c:axId val="157297993"/>
      </c:barChart>
      <c:catAx>
        <c:axId val="973124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297993"/>
        <c:crosses val="autoZero"/>
        <c:auto val="1"/>
        <c:lblAlgn val="ctr"/>
        <c:lblOffset val="100"/>
        <c:noMultiLvlLbl val="0"/>
      </c:catAx>
      <c:valAx>
        <c:axId val="157297993"/>
        <c:scaling>
          <c:orientation val="minMax"/>
        </c:scaling>
        <c:delete val="0"/>
        <c:axPos val="l"/>
        <c:majorGridlines>
          <c:spPr>
            <a:ln w="9525" cap="flat" cmpd="sng" algn="ctr">
              <a:solidFill>
                <a:schemeClr val="bg1">
                  <a:lumMod val="90200"/>
                </a:schemeClr>
              </a:solidFill>
              <a:prstDash val="solid"/>
              <a:round/>
            </a:ln>
            <a:effectLst/>
          </c:spPr>
        </c:majorGridlines>
        <c:title>
          <c:layout/>
          <c:overlay val="0"/>
          <c:spPr>
            <a:noFill/>
            <a:ln>
              <a:noFill/>
            </a:ln>
            <a:effectLst/>
          </c:spPr>
          <c:tx>
            <c:rich>
              <a:bodyPr/>
              <a:lstStyle/>
              <a:p>
                <a:pPr>
                  <a:defRPr/>
                </a:pPr>
              </a:p>
            </c:rich>
          </c:tx>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12458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[工作簿1]Sheet1!$B$1</c:f>
              <c:strCache>
                <c:ptCount val="1"/>
                <c:pt idx="0">
                  <c:v>金额（万元）</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delete val="1"/>
          </c:dLbls>
          <c:cat>
            <c:strRef>
              <c:f>[工作簿1]Sheet1!$A$2:$A$3</c:f>
              <c:strCache>
                <c:ptCount val="2"/>
                <c:pt idx="0">
                  <c:v>2021年</c:v>
                </c:pt>
                <c:pt idx="1">
                  <c:v>2022年</c:v>
                </c:pt>
              </c:strCache>
            </c:strRef>
          </c:cat>
          <c:val>
            <c:numRef>
              <c:f>[工作簿1]Sheet1!$B$2:$B$3</c:f>
              <c:numCache>
                <c:formatCode>General</c:formatCode>
                <c:ptCount val="2"/>
                <c:pt idx="0">
                  <c:v>1053</c:v>
                </c:pt>
                <c:pt idx="1">
                  <c:v>899.75</c:v>
                </c:pt>
              </c:numCache>
            </c:numRef>
          </c:val>
        </c:ser>
        <c:dLbls>
          <c:showLegendKey val="0"/>
          <c:showVal val="0"/>
          <c:showCatName val="0"/>
          <c:showSerName val="0"/>
          <c:showPercent val="0"/>
          <c:showBubbleSize val="0"/>
        </c:dLbls>
        <c:gapWidth val="500"/>
        <c:overlap val="-50"/>
        <c:axId val="972657040"/>
        <c:axId val="435438404"/>
      </c:barChart>
      <c:catAx>
        <c:axId val="972657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438404"/>
        <c:crosses val="autoZero"/>
        <c:auto val="1"/>
        <c:lblAlgn val="ctr"/>
        <c:lblOffset val="100"/>
        <c:noMultiLvlLbl val="0"/>
      </c:catAx>
      <c:valAx>
        <c:axId val="435438404"/>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657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[工作簿1]Sheet1!$B$1</c:f>
              <c:strCache>
                <c:ptCount val="1"/>
                <c:pt idx="0">
                  <c:v>金额（万元）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社会保障和就业支出</c:v>
                </c:pt>
                <c:pt idx="1">
                  <c:v>卫生健康支出</c:v>
                </c:pt>
              </c:strCache>
            </c:strRef>
          </c:cat>
          <c:val>
            <c:numRef>
              <c:f>[工作簿1]Sheet1!$B$2:$B$3</c:f>
              <c:numCache>
                <c:formatCode>General</c:formatCode>
                <c:ptCount val="2"/>
                <c:pt idx="0">
                  <c:v>19.11</c:v>
                </c:pt>
                <c:pt idx="1">
                  <c:v>880.64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528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528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20</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Jay</cp:lastModifiedBy>
  <cp:lastPrinted>2023-09-26T09:14:14Z</cp:lastPrinted>
  <dcterms:modified xsi:type="dcterms:W3CDTF">2023-09-26T09:16:54Z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A55F589EAE454C6080DE327B4182266B_13</vt:lpwstr>
  </property>
</Properties>
</file>